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AAD4F3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6624AB">
        <w:t>Cantrell Primary School</w:t>
      </w:r>
    </w:p>
    <w:p w14:paraId="57AD2424" w14:textId="77777777" w:rsidR="004B1F58" w:rsidRDefault="004B1F58" w:rsidP="004B1F58">
      <w:pPr>
        <w:spacing w:after="0"/>
      </w:pPr>
    </w:p>
    <w:p w14:paraId="16B48015" w14:textId="5791D932" w:rsidR="00E66558" w:rsidRDefault="009D71E8" w:rsidP="00C62989">
      <w:pPr>
        <w:rPr>
          <w:b/>
        </w:rPr>
      </w:pPr>
      <w:r>
        <w:t xml:space="preserve">This statement details our school’s use of pupil </w:t>
      </w:r>
      <w:r w:rsidRPr="005F2600">
        <w:t xml:space="preserve">premium </w:t>
      </w:r>
      <w:r>
        <w:t>funding to help improve the attainment of our disadvantaged pupils</w:t>
      </w:r>
      <w:r w:rsidR="006624AB">
        <w:t>.</w:t>
      </w:r>
    </w:p>
    <w:p w14:paraId="2A7D54B3" w14:textId="2BA17D1B"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6624A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01E8F9C" w:rsidR="002940F3" w:rsidRDefault="006624AB" w:rsidP="00C31636">
            <w:pPr>
              <w:pStyle w:val="TableRow"/>
              <w:ind w:left="0" w:right="0"/>
            </w:pPr>
            <w:r>
              <w:t>361</w:t>
            </w:r>
          </w:p>
        </w:tc>
      </w:tr>
      <w:tr w:rsidR="002940F3" w14:paraId="2A7D54BD"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7B76D78" w:rsidR="002940F3" w:rsidRDefault="51D6D7EA" w:rsidP="00C31636">
            <w:pPr>
              <w:pStyle w:val="TableRow"/>
              <w:ind w:left="0" w:right="0"/>
            </w:pPr>
            <w:r>
              <w:t>35.4%</w:t>
            </w:r>
          </w:p>
        </w:tc>
      </w:tr>
      <w:tr w:rsidR="002940F3" w14:paraId="2A7D54C0"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19DE0EE" w:rsidR="002940F3" w:rsidRDefault="006624AB" w:rsidP="00C31636">
            <w:pPr>
              <w:pStyle w:val="TableRow"/>
              <w:ind w:left="0" w:right="0"/>
            </w:pPr>
            <w:r>
              <w:t>2025/2026 – 2027/2028</w:t>
            </w:r>
          </w:p>
        </w:tc>
      </w:tr>
      <w:tr w:rsidR="002940F3" w14:paraId="2A7D54C3"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2AAC91F" w:rsidR="002940F3" w:rsidRDefault="006624AB" w:rsidP="00C31636">
            <w:pPr>
              <w:pStyle w:val="TableRow"/>
              <w:ind w:left="0" w:right="0"/>
            </w:pPr>
            <w:r>
              <w:t>November 2025</w:t>
            </w:r>
          </w:p>
        </w:tc>
      </w:tr>
      <w:tr w:rsidR="002940F3" w14:paraId="2A7D54C6"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94D77CE" w:rsidR="002940F3" w:rsidRDefault="006624AB" w:rsidP="00C31636">
            <w:pPr>
              <w:pStyle w:val="TableRow"/>
              <w:ind w:left="0" w:right="0"/>
            </w:pPr>
            <w:r>
              <w:t>July 2026</w:t>
            </w:r>
          </w:p>
        </w:tc>
      </w:tr>
      <w:tr w:rsidR="002940F3" w14:paraId="2A7D54C9"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7A398F5" w:rsidR="002940F3" w:rsidRDefault="006624AB" w:rsidP="00C31636">
            <w:pPr>
              <w:pStyle w:val="TableRow"/>
              <w:ind w:left="0" w:right="0"/>
            </w:pPr>
            <w:r>
              <w:t>D Weaver</w:t>
            </w:r>
          </w:p>
        </w:tc>
      </w:tr>
      <w:tr w:rsidR="002940F3" w14:paraId="2A7D54CC"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255811" w14:textId="77777777" w:rsidR="002940F3" w:rsidRDefault="006624AB" w:rsidP="00C31636">
            <w:pPr>
              <w:pStyle w:val="TableRow"/>
              <w:ind w:left="0" w:right="0"/>
            </w:pPr>
            <w:r>
              <w:t>J Tomkinson</w:t>
            </w:r>
          </w:p>
          <w:p w14:paraId="40114342" w14:textId="77777777" w:rsidR="006624AB" w:rsidRDefault="006624AB" w:rsidP="00C31636">
            <w:pPr>
              <w:pStyle w:val="TableRow"/>
              <w:ind w:left="0" w:right="0"/>
            </w:pPr>
            <w:r>
              <w:t>S Bagnall</w:t>
            </w:r>
          </w:p>
          <w:p w14:paraId="37337887" w14:textId="77777777" w:rsidR="006624AB" w:rsidRDefault="006624AB" w:rsidP="00C31636">
            <w:pPr>
              <w:pStyle w:val="TableRow"/>
              <w:ind w:left="0" w:right="0"/>
            </w:pPr>
            <w:r>
              <w:t>S DeBarr</w:t>
            </w:r>
          </w:p>
          <w:p w14:paraId="2A7D54CB" w14:textId="51E2985F" w:rsidR="006624AB" w:rsidRDefault="006624AB" w:rsidP="00C31636">
            <w:pPr>
              <w:pStyle w:val="TableRow"/>
              <w:ind w:left="0" w:right="0"/>
            </w:pPr>
            <w:r>
              <w:t>C Langham</w:t>
            </w:r>
          </w:p>
        </w:tc>
      </w:tr>
      <w:tr w:rsidR="002940F3" w14:paraId="2A7D54CF" w14:textId="77777777" w:rsidTr="7235C2A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7343A15" w:rsidR="002940F3" w:rsidRDefault="006624AB" w:rsidP="00C31636">
            <w:pPr>
              <w:pStyle w:val="TableRow"/>
              <w:ind w:left="0" w:right="0"/>
            </w:pPr>
            <w:r>
              <w:t>Ruth Palmer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235C2A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235C2A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805559E" w:rsidR="00E66558" w:rsidRDefault="009D71E8" w:rsidP="00C31636">
            <w:pPr>
              <w:pStyle w:val="TableRow"/>
              <w:ind w:left="0" w:right="0"/>
            </w:pPr>
            <w:r>
              <w:t>£</w:t>
            </w:r>
            <w:r w:rsidR="63258243">
              <w:t>186,345</w:t>
            </w:r>
          </w:p>
        </w:tc>
      </w:tr>
      <w:tr w:rsidR="00E66558" w14:paraId="2A7D54DF" w14:textId="77777777" w:rsidTr="7235C2A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AC2B417" w:rsidR="00E66558" w:rsidRDefault="009D71E8" w:rsidP="00C31636">
            <w:pPr>
              <w:pStyle w:val="TableRow"/>
              <w:ind w:left="0" w:right="0"/>
            </w:pPr>
            <w:r>
              <w:t>£</w:t>
            </w:r>
            <w:r w:rsidR="56464297">
              <w:t>0</w:t>
            </w:r>
          </w:p>
        </w:tc>
      </w:tr>
      <w:tr w:rsidR="00E66558" w14:paraId="2A7D54E3" w14:textId="77777777" w:rsidTr="7235C2A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DF631C4" w:rsidR="00E66558" w:rsidRDefault="009D71E8" w:rsidP="00C31636">
            <w:pPr>
              <w:pStyle w:val="TableRow"/>
              <w:ind w:left="0" w:right="0"/>
            </w:pPr>
            <w:r>
              <w:t>£</w:t>
            </w:r>
            <w:r w:rsidR="53B77C97">
              <w:t>186,345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52B8" w14:textId="77777777" w:rsidR="006624AB" w:rsidRDefault="006624AB" w:rsidP="006624AB">
            <w:pPr>
              <w:spacing w:after="60"/>
              <w:ind w:left="720" w:hanging="360"/>
            </w:pPr>
            <w:r>
              <w:t xml:space="preserve">At Cantrell Primary School, we are committed to ensuring that every child, regardless of their background, has access to a high-quality education and opportunities to thrive. Situated in a vibrant and diverse community, our school serves an area where many families face significant social and economic challenges. These challenges can create barriers to learning and limit the life chances of some of our children. </w:t>
            </w:r>
          </w:p>
          <w:p w14:paraId="044BCB43" w14:textId="77777777" w:rsidR="006624AB" w:rsidRDefault="006624AB" w:rsidP="006624AB">
            <w:pPr>
              <w:spacing w:after="60"/>
              <w:ind w:left="720" w:hanging="360"/>
            </w:pPr>
            <w:r>
              <w:t>At Cantrell Primary School staff believe in all children and their ability to achieve; there are no excuses made for under performance. Instead, all adults adopt an approach which searches for solutions, encouraging children to do the same.</w:t>
            </w:r>
          </w:p>
          <w:p w14:paraId="1E0BD683" w14:textId="77777777" w:rsidR="006624AB" w:rsidRDefault="006624AB" w:rsidP="006624AB">
            <w:pPr>
              <w:spacing w:after="60"/>
              <w:ind w:left="720" w:hanging="360"/>
            </w:pPr>
            <w:r>
              <w:t xml:space="preserve"> We adopt a whole school approach in which all staff take responsibility for disadvantaged pupils’ outcomes and raise expectations of what they can achieve. We will focus on diminishing differences between our disadvantaged pupils and those not in receipt of the funding, both within school and nationally. The usual cycle of data collection and the monitoring and tracking of the cohort’s attainment, will be used to inform pupil progress and enable the early identification of need, support and appropriate intervention. </w:t>
            </w:r>
          </w:p>
          <w:p w14:paraId="418FBB05" w14:textId="77777777" w:rsidR="006624AB" w:rsidRDefault="006624AB" w:rsidP="006624AB">
            <w:pPr>
              <w:spacing w:after="60"/>
              <w:ind w:left="720" w:hanging="360"/>
            </w:pPr>
            <w:r>
              <w:t xml:space="preserve">We support the children to develop a growth mind set and attitude towards learning. Our priority is to ensure that day to day teaching in school continues to improve with increasing percentages of outstanding teaching across the school. Additionally, we also ensure that focused support and strong pastoral care is given to children that require it, so they are able to achieve their full potential. </w:t>
            </w:r>
          </w:p>
          <w:p w14:paraId="2A7D54E9" w14:textId="473118C3" w:rsidR="00E66558" w:rsidRPr="006624AB" w:rsidRDefault="006624AB" w:rsidP="006624AB">
            <w:pPr>
              <w:spacing w:after="60"/>
              <w:ind w:left="720" w:hanging="360"/>
            </w:pPr>
            <w:r>
              <w:t>Cantrell Primary School considers how to allocate the PPG on an annual basis following rigorous data analysis and careful consideration of the needs of all the children within this group. Current evidence-based research such as proven in school data and the EEF (Education Endowment Foundation) is used to inform spending in order to achieve the best outcomes for our children. We have a clear and concise approach to the use of the PPG and plans are integrated into a wider school support. These are monitored and evaluated regularly to ensure the correct support and strategies are identified so pupils can make the best progress possible and that the PPG has the necessary impact on achievement, attendance and pastoral care. Here at Cantrell Primary School, under-performing pupils at all levels are targeted not just lower attaining pupils.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4509" w14:textId="2B68BF36" w:rsidR="006624AB" w:rsidRPr="006624AB" w:rsidRDefault="006624AB" w:rsidP="00C31636">
            <w:pPr>
              <w:pStyle w:val="TableRowCentered"/>
              <w:ind w:left="0" w:right="0"/>
              <w:jc w:val="left"/>
              <w:rPr>
                <w:b/>
                <w:bCs/>
              </w:rPr>
            </w:pPr>
            <w:r w:rsidRPr="006624AB">
              <w:rPr>
                <w:b/>
                <w:bCs/>
              </w:rPr>
              <w:t xml:space="preserve">Academic progress and attainment </w:t>
            </w:r>
          </w:p>
          <w:p w14:paraId="2A7D54F1" w14:textId="0954FE4C" w:rsidR="00E66558" w:rsidRDefault="006624AB" w:rsidP="00C31636">
            <w:pPr>
              <w:pStyle w:val="TableRowCentered"/>
              <w:ind w:left="0" w:right="0"/>
              <w:jc w:val="left"/>
            </w:pPr>
            <w:r>
              <w:t>Pupils eligible for the Pupil Premium grant typically enter school with lower starting points, particularly in Reading, Writing, and Maths. Their prior attainment is below the national average, highlighting the need for targeted support to close these gaps</w:t>
            </w:r>
            <w:r w:rsidR="002016BC">
              <w:t>:</w:t>
            </w:r>
            <w:r>
              <w:t xml:space="preserve"> </w:t>
            </w:r>
            <w:r w:rsidR="00516A95">
              <w:t>40</w:t>
            </w:r>
            <w:r w:rsidR="002016BC">
              <w:t xml:space="preserve">% of EYFS children eligible for </w:t>
            </w:r>
            <w:r w:rsidR="00516A95">
              <w:t>PP</w:t>
            </w:r>
            <w:r w:rsidR="002016BC">
              <w:t xml:space="preserve"> are at WTS in Reading, Writing and Maths combined.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7353" w14:textId="39A39531" w:rsidR="006624AB" w:rsidRPr="006624AB" w:rsidRDefault="006624AB" w:rsidP="006624AB">
            <w:pPr>
              <w:pStyle w:val="TableRowCentered"/>
              <w:ind w:left="0" w:right="0"/>
              <w:jc w:val="left"/>
              <w:rPr>
                <w:b/>
                <w:bCs/>
              </w:rPr>
            </w:pPr>
            <w:r w:rsidRPr="006624AB">
              <w:rPr>
                <w:b/>
                <w:bCs/>
              </w:rPr>
              <w:t>Communication and language development</w:t>
            </w:r>
          </w:p>
          <w:p w14:paraId="2A7D54F4" w14:textId="3138F7C9" w:rsidR="006624AB" w:rsidRDefault="006624AB" w:rsidP="006624AB">
            <w:pPr>
              <w:pStyle w:val="TableRowCentered"/>
              <w:ind w:left="0" w:right="0"/>
              <w:jc w:val="left"/>
              <w:rPr>
                <w:sz w:val="22"/>
                <w:szCs w:val="22"/>
              </w:rPr>
            </w:pPr>
            <w:r>
              <w:t>On entry, language and communication skills are below age-related expectations particularly those eligible to the pupil premium grant. Poor spoken language impacts pupils’ ability to express themselves, understand instructions, and process information, in order to write coherently using a wider range of vocabulary.</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62FD" w14:textId="10D06133" w:rsidR="006624AB" w:rsidRPr="006624AB" w:rsidRDefault="006624AB" w:rsidP="00C31636">
            <w:pPr>
              <w:pStyle w:val="TableRowCentered"/>
              <w:ind w:left="0" w:right="0"/>
              <w:jc w:val="left"/>
              <w:rPr>
                <w:b/>
                <w:bCs/>
              </w:rPr>
            </w:pPr>
            <w:r w:rsidRPr="006624AB">
              <w:rPr>
                <w:b/>
                <w:bCs/>
              </w:rPr>
              <w:t xml:space="preserve">Social, emotional and mental health development </w:t>
            </w:r>
          </w:p>
          <w:p w14:paraId="2A7D54F7" w14:textId="4E95B346" w:rsidR="00E66558" w:rsidRDefault="006624AB" w:rsidP="00C31636">
            <w:pPr>
              <w:pStyle w:val="TableRowCentered"/>
              <w:ind w:left="0" w:right="0"/>
              <w:jc w:val="left"/>
              <w:rPr>
                <w:sz w:val="22"/>
                <w:szCs w:val="22"/>
              </w:rPr>
            </w:pPr>
            <w:r>
              <w:t>For effective learning to take place, pupils’ social and emotional needs must be met. Children in receipt of the Pupil Premium grant may struggle with engagement, low-level disruption, and disengagement in lessons. Creating a calm, supportive learning environment is essential to help these pupils focus, participate, and thrive academically.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8D14" w14:textId="3F713FB4" w:rsidR="006624AB" w:rsidRPr="006624AB" w:rsidRDefault="006624AB" w:rsidP="00C31636">
            <w:pPr>
              <w:pStyle w:val="TableRowCentered"/>
              <w:ind w:left="0" w:right="0"/>
              <w:jc w:val="left"/>
              <w:rPr>
                <w:b/>
                <w:bCs/>
              </w:rPr>
            </w:pPr>
            <w:r w:rsidRPr="006624AB">
              <w:rPr>
                <w:b/>
                <w:bCs/>
              </w:rPr>
              <w:t>Raising aspirations</w:t>
            </w:r>
          </w:p>
          <w:p w14:paraId="2A7D54FA" w14:textId="252D8964" w:rsidR="00E66558" w:rsidRDefault="006624AB" w:rsidP="00C31636">
            <w:pPr>
              <w:pStyle w:val="TableRowCentered"/>
              <w:ind w:left="0" w:right="0"/>
              <w:jc w:val="left"/>
              <w:rPr>
                <w:iCs/>
                <w:sz w:val="22"/>
              </w:rPr>
            </w:pPr>
            <w:r>
              <w:t>Pupils eligible for the Pupil Premium grant often have limited experiences beyond their immediate environment, including access to cultural events, places of interest, and extra-curricular activities due to financial constraints. The curriculum is designed to provide enriching opportunities and raise aspirations by broadening pupils’ understanding of the wider world and future career possibilities.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82864" w14:textId="3922740C" w:rsidR="006624AB" w:rsidRPr="006624AB" w:rsidRDefault="006624AB" w:rsidP="00C31636">
            <w:pPr>
              <w:pStyle w:val="TableRowCentered"/>
              <w:ind w:left="0" w:right="0"/>
              <w:jc w:val="left"/>
              <w:rPr>
                <w:b/>
                <w:bCs/>
              </w:rPr>
            </w:pPr>
            <w:r w:rsidRPr="006624AB">
              <w:rPr>
                <w:b/>
                <w:bCs/>
              </w:rPr>
              <w:t>Attendance and Punctuality</w:t>
            </w:r>
          </w:p>
          <w:p w14:paraId="2A7D54FD" w14:textId="4040A9B4" w:rsidR="00E66558" w:rsidRDefault="006624AB" w:rsidP="00C31636">
            <w:pPr>
              <w:pStyle w:val="TableRowCentered"/>
              <w:ind w:left="0" w:right="0"/>
              <w:jc w:val="left"/>
              <w:rPr>
                <w:iCs/>
                <w:sz w:val="22"/>
              </w:rPr>
            </w:pPr>
            <w:r>
              <w:t xml:space="preserve">Attendance and Punctuality are key factors which affects the children and much progress has been made on this. For the academic year 2024/25 overall attendance </w:t>
            </w:r>
            <w:r w:rsidRPr="00BA0679">
              <w:t>was 9</w:t>
            </w:r>
            <w:r w:rsidR="00BA0679" w:rsidRPr="00BA0679">
              <w:t>4%</w:t>
            </w:r>
            <w:r w:rsidRPr="00BA0679">
              <w:t xml:space="preserve"> (9</w:t>
            </w:r>
            <w:r w:rsidR="00BA0679" w:rsidRPr="00BA0679">
              <w:t>0.2%</w:t>
            </w:r>
            <w:r w:rsidRPr="00BA0679">
              <w:t xml:space="preserve"> for PP</w:t>
            </w:r>
            <w:r w:rsidR="00BA0679" w:rsidRPr="00BA0679">
              <w:t>)</w:t>
            </w:r>
            <w:r w:rsidR="00BA0679">
              <w:t xml:space="preserve"> </w:t>
            </w:r>
            <w:r>
              <w:t>Overall attendance is on an upward trajectory but the gap between advantaged and disadvantaged children remains.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1A8FE8D" w:rsidR="00E66558" w:rsidRDefault="006624AB" w:rsidP="00C31636">
            <w:pPr>
              <w:pStyle w:val="TableRow"/>
              <w:ind w:left="0" w:right="0"/>
            </w:pPr>
            <w:r>
              <w:t>To narrow the attainment gap between disadvantaged and non-disadvantaged pupils in Reading/Writing/Maths for KS2 outcomes.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E6F3284" w:rsidR="00E66558" w:rsidRDefault="006624AB" w:rsidP="00C31636">
            <w:pPr>
              <w:pStyle w:val="TableRowCentered"/>
              <w:ind w:left="0" w:right="0"/>
              <w:jc w:val="left"/>
              <w:rPr>
                <w:sz w:val="22"/>
                <w:szCs w:val="22"/>
              </w:rPr>
            </w:pPr>
            <w:r>
              <w:t xml:space="preserve">In 2024/25 the attainment gap between disadvantaged and non-disadvantaged children was </w:t>
            </w:r>
            <w:r w:rsidRPr="00BA0679">
              <w:t>2</w:t>
            </w:r>
            <w:r w:rsidR="00BA0679" w:rsidRPr="00BA0679">
              <w:t>2</w:t>
            </w:r>
            <w:r w:rsidRPr="00BA0679">
              <w:t xml:space="preserve">% for combined (R/W/M). For Cantrell at KS2, the gap was </w:t>
            </w:r>
            <w:r w:rsidR="00BA0679" w:rsidRPr="00BA0679">
              <w:t>21</w:t>
            </w:r>
            <w:r w:rsidRPr="00BA0679">
              <w:t>%.</w:t>
            </w:r>
            <w:r>
              <w:t xml:space="preserve"> However, the gap for other year groups is currently larger than this – the gap should be reduced to be in line or less than National for the year</w:t>
            </w:r>
            <w:r w:rsidR="00C03D13">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83861EF" w:rsidR="00E66558" w:rsidRDefault="006624AB" w:rsidP="006624AB">
            <w:pPr>
              <w:pStyle w:val="NormalWeb"/>
              <w:rPr>
                <w:sz w:val="22"/>
                <w:szCs w:val="22"/>
              </w:rPr>
            </w:pPr>
            <w:r>
              <w:lastRenderedPageBreak/>
              <w:t>To improve the oracy and communication of disadvantaged pupils across the whole curriculum using early intervention and deliberate, explicit and systematic teaching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1764D" w14:textId="77777777" w:rsidR="006624AB" w:rsidRDefault="006624AB" w:rsidP="00C31636">
            <w:pPr>
              <w:pStyle w:val="TableRowCentered"/>
              <w:ind w:left="0" w:right="0"/>
              <w:jc w:val="left"/>
            </w:pPr>
            <w:r>
              <w:t xml:space="preserve">Talk in classroom is been planned, designed, modelled, scaffolded and structured to enable all learners to develop the skills needed to talk effectively and with confidence. </w:t>
            </w:r>
          </w:p>
          <w:p w14:paraId="633D6EB9" w14:textId="77777777" w:rsidR="006624AB" w:rsidRDefault="006624AB" w:rsidP="00C31636">
            <w:pPr>
              <w:pStyle w:val="TableRowCentered"/>
              <w:ind w:left="0" w:right="0"/>
              <w:jc w:val="left"/>
            </w:pPr>
            <w:r>
              <w:t xml:space="preserve">• There’s deliberate, explicit and systematic teaching of oracy across phases and throughout the curriculum which supports children to make progress in the four strands of oracy. </w:t>
            </w:r>
          </w:p>
          <w:p w14:paraId="5884E6B5" w14:textId="77777777" w:rsidR="006624AB" w:rsidRDefault="006624AB" w:rsidP="00C31636">
            <w:pPr>
              <w:pStyle w:val="TableRowCentered"/>
              <w:ind w:left="0" w:right="0"/>
              <w:jc w:val="left"/>
            </w:pPr>
            <w:r>
              <w:t xml:space="preserve">• A greater proportion of pupil premium pupils are achieving age related expectations in communication and language at the end of EYFS. </w:t>
            </w:r>
          </w:p>
          <w:p w14:paraId="45541CAC" w14:textId="63BA34F3" w:rsidR="006624AB" w:rsidRDefault="006624AB" w:rsidP="00C31636">
            <w:pPr>
              <w:pStyle w:val="TableRowCentered"/>
              <w:ind w:left="0" w:right="0"/>
              <w:jc w:val="left"/>
            </w:pPr>
            <w:r>
              <w:t>• Individual needs are addressed through targeted interventions.</w:t>
            </w:r>
          </w:p>
          <w:p w14:paraId="5735CD91" w14:textId="3125A583" w:rsidR="00B11D9E" w:rsidRDefault="00B11D9E" w:rsidP="00C31636">
            <w:pPr>
              <w:pStyle w:val="TableRowCentered"/>
              <w:ind w:left="0" w:right="0"/>
              <w:jc w:val="left"/>
              <w:rPr>
                <w:szCs w:val="22"/>
              </w:rPr>
            </w:pPr>
            <w:r>
              <w:t>EYFS children eligible for PP recorded at “well below” in the</w:t>
            </w:r>
            <w:r>
              <w:rPr>
                <w:szCs w:val="22"/>
              </w:rPr>
              <w:t xml:space="preserve"> ELG 2024/2025:</w:t>
            </w:r>
          </w:p>
          <w:p w14:paraId="798E32E7" w14:textId="32573916" w:rsidR="00B11D9E" w:rsidRDefault="00B11D9E" w:rsidP="00C31636">
            <w:pPr>
              <w:pStyle w:val="TableRowCentered"/>
              <w:ind w:left="0" w:right="0"/>
              <w:jc w:val="left"/>
              <w:rPr>
                <w:szCs w:val="22"/>
              </w:rPr>
            </w:pPr>
            <w:r>
              <w:rPr>
                <w:szCs w:val="22"/>
              </w:rPr>
              <w:t>Reading 40%</w:t>
            </w:r>
          </w:p>
          <w:p w14:paraId="3E09CD08" w14:textId="7FBF8167" w:rsidR="00B11D9E" w:rsidRDefault="00B11D9E" w:rsidP="00C31636">
            <w:pPr>
              <w:pStyle w:val="TableRowCentered"/>
              <w:ind w:left="0" w:right="0"/>
              <w:jc w:val="left"/>
              <w:rPr>
                <w:szCs w:val="22"/>
              </w:rPr>
            </w:pPr>
            <w:r>
              <w:rPr>
                <w:szCs w:val="22"/>
              </w:rPr>
              <w:t>Writing 40%</w:t>
            </w:r>
          </w:p>
          <w:p w14:paraId="70D4475F" w14:textId="3579E021" w:rsidR="00B11D9E" w:rsidRDefault="00B11D9E" w:rsidP="00C31636">
            <w:pPr>
              <w:pStyle w:val="TableRowCentered"/>
              <w:ind w:left="0" w:right="0"/>
              <w:jc w:val="left"/>
              <w:rPr>
                <w:szCs w:val="22"/>
              </w:rPr>
            </w:pPr>
            <w:r>
              <w:rPr>
                <w:szCs w:val="22"/>
              </w:rPr>
              <w:t>Listening, attention and understanding: 20%</w:t>
            </w:r>
          </w:p>
          <w:p w14:paraId="2A7D5508" w14:textId="2932FEF2" w:rsidR="006624AB" w:rsidRPr="00B11D9E" w:rsidRDefault="00B11D9E" w:rsidP="00C31636">
            <w:pPr>
              <w:pStyle w:val="TableRowCentered"/>
              <w:ind w:left="0" w:right="0"/>
              <w:jc w:val="left"/>
              <w:rPr>
                <w:szCs w:val="22"/>
              </w:rPr>
            </w:pPr>
            <w:r>
              <w:rPr>
                <w:szCs w:val="22"/>
              </w:rPr>
              <w:t>Speaking 27%</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0D899EA" w:rsidR="00E66558" w:rsidRDefault="006624AB" w:rsidP="00C31636">
            <w:pPr>
              <w:pStyle w:val="TableRow"/>
              <w:ind w:left="0" w:right="0"/>
              <w:rPr>
                <w:sz w:val="22"/>
                <w:szCs w:val="22"/>
              </w:rPr>
            </w:pPr>
            <w:r>
              <w:t>Children’s social, emotional and mental health needs are addressed and they are supported to access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29673EC" w:rsidR="006624AB" w:rsidRPr="006624AB" w:rsidRDefault="006624AB" w:rsidP="006624AB">
            <w:pPr>
              <w:pStyle w:val="TableRowCentered"/>
              <w:ind w:left="0" w:right="0"/>
              <w:jc w:val="left"/>
            </w:pPr>
            <w:r>
              <w:t>Wider strategies and targeted support help disadvantaged pupils access learning by meeting needs at whole school, class, and individual levels. This leads to improved learning behaviours and greater engagement across the curriculum.</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030A54B" w:rsidR="00E66558" w:rsidRDefault="006624AB" w:rsidP="00C31636">
            <w:pPr>
              <w:pStyle w:val="TableRow"/>
              <w:ind w:left="0" w:right="0"/>
              <w:rPr>
                <w:sz w:val="22"/>
                <w:szCs w:val="22"/>
              </w:rPr>
            </w:pPr>
            <w:r>
              <w:rPr>
                <w:sz w:val="22"/>
                <w:szCs w:val="22"/>
              </w:rPr>
              <w:t>To achieve and sustain improved attendance and punctuality for all pupils, particularly our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215C2" w14:textId="3F5B82A2" w:rsidR="006624AB" w:rsidRDefault="006624AB" w:rsidP="00C31636">
            <w:pPr>
              <w:pStyle w:val="TableRowCentered"/>
              <w:ind w:left="0" w:right="0"/>
              <w:jc w:val="left"/>
            </w:pPr>
            <w:r>
              <w:t xml:space="preserve">Increased attendance for all pupil premium pupils to close the gap with the expected national figure and to decrease the % of pupil premium pupils who are persistent absentees. </w:t>
            </w:r>
          </w:p>
          <w:p w14:paraId="34AF4843" w14:textId="637F67E8" w:rsidR="00B11D9E" w:rsidRDefault="00B11D9E" w:rsidP="00C31636">
            <w:pPr>
              <w:pStyle w:val="TableRowCentered"/>
              <w:ind w:left="0" w:right="0"/>
              <w:jc w:val="left"/>
            </w:pPr>
            <w:r>
              <w:t xml:space="preserve">2 </w:t>
            </w:r>
            <w:proofErr w:type="gramStart"/>
            <w:r>
              <w:t>term</w:t>
            </w:r>
            <w:proofErr w:type="gramEnd"/>
            <w:r>
              <w:t xml:space="preserve"> (2024/2025 – IDSR data) – 36.4% compared to national 24.5%</w:t>
            </w:r>
            <w:r w:rsidR="00D422ED">
              <w:t>.</w:t>
            </w:r>
          </w:p>
          <w:p w14:paraId="29C22046" w14:textId="5A27B30F" w:rsidR="00D422ED" w:rsidRDefault="00D422ED" w:rsidP="00C31636">
            <w:pPr>
              <w:pStyle w:val="TableRowCentered"/>
              <w:ind w:left="0" w:right="0"/>
              <w:jc w:val="left"/>
            </w:pPr>
            <w:r>
              <w:t>Insight shows end of year data – 27.4%</w:t>
            </w:r>
          </w:p>
          <w:p w14:paraId="2A7D550E" w14:textId="0A90AF6F" w:rsidR="00E66558" w:rsidRDefault="006624AB" w:rsidP="00C31636">
            <w:pPr>
              <w:pStyle w:val="TableRowCentered"/>
              <w:ind w:left="0" w:right="0"/>
              <w:jc w:val="left"/>
              <w:rPr>
                <w:sz w:val="22"/>
                <w:szCs w:val="22"/>
              </w:rPr>
            </w:pPr>
            <w:r>
              <w:t xml:space="preserve">Work closely with families to understand the barriers and to lower the percentage of persistent absences and improve punctuality for all children.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491A01EB" w:rsidR="00E66558" w:rsidRDefault="009D71E8">
      <w:r>
        <w:t>Budgeted cost: £</w:t>
      </w:r>
      <w:r w:rsidR="131C4472">
        <w:t>93,172</w:t>
      </w:r>
    </w:p>
    <w:tbl>
      <w:tblPr>
        <w:tblW w:w="5000" w:type="pct"/>
        <w:tblCellMar>
          <w:left w:w="10" w:type="dxa"/>
          <w:right w:w="10" w:type="dxa"/>
        </w:tblCellMar>
        <w:tblLook w:val="04A0" w:firstRow="1" w:lastRow="0" w:firstColumn="1" w:lastColumn="0" w:noHBand="0" w:noVBand="1"/>
      </w:tblPr>
      <w:tblGrid>
        <w:gridCol w:w="2383"/>
        <w:gridCol w:w="6261"/>
        <w:gridCol w:w="1812"/>
      </w:tblGrid>
      <w:tr w:rsidR="00E66558" w14:paraId="2A7D5519"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01F9C00F" w:rsidR="00E66558" w:rsidRPr="006624AB" w:rsidRDefault="006624AB" w:rsidP="00C31636">
            <w:pPr>
              <w:pStyle w:val="TableRow"/>
              <w:ind w:left="0" w:right="0"/>
            </w:pPr>
            <w:r>
              <w:t xml:space="preserve">Continued use of White Rose to support consistency in teaching and use of high-quality resources in Maths.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7D22A" w14:textId="24804075" w:rsidR="00E66558" w:rsidRDefault="006624AB" w:rsidP="00C31636">
            <w:pPr>
              <w:pStyle w:val="TableRowCentered"/>
              <w:ind w:left="0" w:right="0"/>
              <w:jc w:val="left"/>
            </w:pPr>
            <w:r>
              <w:t xml:space="preserve">The impact of mastery learning approaches is an additional five months progress, on average, over the course of a year. </w:t>
            </w:r>
          </w:p>
          <w:p w14:paraId="673593A8" w14:textId="77777777" w:rsidR="006624AB" w:rsidRDefault="006624AB" w:rsidP="00C31636">
            <w:pPr>
              <w:pStyle w:val="TableRowCentered"/>
              <w:ind w:left="0" w:right="0"/>
              <w:jc w:val="left"/>
            </w:pPr>
          </w:p>
          <w:p w14:paraId="618AE965" w14:textId="36F28C46" w:rsidR="006624AB" w:rsidRDefault="00FF177A" w:rsidP="00C31636">
            <w:pPr>
              <w:pStyle w:val="TableRowCentered"/>
              <w:ind w:left="0" w:right="0"/>
              <w:jc w:val="left"/>
              <w:rPr>
                <w:szCs w:val="24"/>
              </w:rPr>
            </w:pPr>
            <w:hyperlink r:id="rId7" w:history="1">
              <w:r w:rsidR="006624AB" w:rsidRPr="006624AB">
                <w:rPr>
                  <w:color w:val="0000FF"/>
                  <w:szCs w:val="24"/>
                  <w:u w:val="single"/>
                </w:rPr>
                <w:t>Mastery learning | EEF</w:t>
              </w:r>
            </w:hyperlink>
          </w:p>
          <w:p w14:paraId="11FC390B" w14:textId="77777777" w:rsidR="006624AB" w:rsidRDefault="006624AB" w:rsidP="00C31636">
            <w:pPr>
              <w:pStyle w:val="TableRowCentered"/>
              <w:ind w:left="0" w:right="0"/>
              <w:jc w:val="left"/>
              <w:rPr>
                <w:szCs w:val="24"/>
              </w:rPr>
            </w:pPr>
          </w:p>
          <w:p w14:paraId="2A7D551B" w14:textId="5B448F24" w:rsidR="006624AB" w:rsidRDefault="00FF177A" w:rsidP="00C31636">
            <w:pPr>
              <w:pStyle w:val="TableRowCentered"/>
              <w:ind w:left="0" w:right="0"/>
              <w:jc w:val="left"/>
            </w:pPr>
            <w:hyperlink r:id="rId8">
              <w:r w:rsidR="006624AB" w:rsidRPr="7235C2A4">
                <w:rPr>
                  <w:rStyle w:val="Hyperlink"/>
                </w:rPr>
                <w:t>https://www.ncetm.org.uk/teaching-for-mastery/mastery-explained/</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20B88A18" w:rsidR="00E66558" w:rsidRDefault="00D422ED" w:rsidP="00C31636">
            <w:pPr>
              <w:pStyle w:val="TableRowCentered"/>
              <w:ind w:left="0" w:right="0"/>
              <w:jc w:val="left"/>
              <w:rPr>
                <w:sz w:val="22"/>
              </w:rPr>
            </w:pPr>
            <w:r>
              <w:rPr>
                <w:sz w:val="22"/>
              </w:rPr>
              <w:t>1</w:t>
            </w:r>
          </w:p>
        </w:tc>
      </w:tr>
      <w:tr w:rsidR="006624AB" w14:paraId="2F01AE30"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D7C1F" w14:textId="3BBA69D6" w:rsidR="006624AB" w:rsidRDefault="006624AB" w:rsidP="00C31636">
            <w:pPr>
              <w:pStyle w:val="TableRow"/>
              <w:ind w:left="0" w:right="0"/>
            </w:pPr>
            <w:r>
              <w:t xml:space="preserve">Develop a language rich learning environment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C58E54" w14:textId="77777777" w:rsidR="006624AB" w:rsidRDefault="006624AB" w:rsidP="00C31636">
            <w:pPr>
              <w:pStyle w:val="TableRowCentered"/>
              <w:ind w:left="0" w:right="0"/>
              <w:jc w:val="left"/>
            </w:pPr>
            <w:r>
              <w:t>Vocabulary included on planning documents and explicitly referred to across the curriculum.</w:t>
            </w:r>
          </w:p>
          <w:p w14:paraId="04074CEF" w14:textId="77777777" w:rsidR="006624AB" w:rsidRDefault="006624AB" w:rsidP="00C31636">
            <w:pPr>
              <w:pStyle w:val="TableRowCentered"/>
              <w:ind w:left="0" w:right="0"/>
              <w:jc w:val="left"/>
            </w:pPr>
          </w:p>
          <w:p w14:paraId="2F7F7D77" w14:textId="38690A9F" w:rsidR="006624AB" w:rsidRDefault="00FF177A" w:rsidP="00C31636">
            <w:pPr>
              <w:pStyle w:val="TableRowCentered"/>
              <w:ind w:left="0" w:right="0"/>
              <w:jc w:val="left"/>
            </w:pPr>
            <w:hyperlink r:id="rId9" w:history="1">
              <w:r w:rsidR="006624AB" w:rsidRPr="00BC52A2">
                <w:rPr>
                  <w:rStyle w:val="Hyperlink"/>
                </w:rPr>
                <w:t>https://educationendowmentfoundation.org.uk/education-evidence/teaching-learning-toolkit/oral-language-interventions</w:t>
              </w:r>
            </w:hyperlink>
            <w:r w:rsidR="006624AB">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D0DA7" w14:textId="155E979D" w:rsidR="006624AB" w:rsidRDefault="00D422ED" w:rsidP="00C31636">
            <w:pPr>
              <w:pStyle w:val="TableRowCentered"/>
              <w:ind w:left="0" w:right="0"/>
              <w:jc w:val="left"/>
              <w:rPr>
                <w:sz w:val="22"/>
              </w:rPr>
            </w:pPr>
            <w:r>
              <w:rPr>
                <w:sz w:val="22"/>
              </w:rPr>
              <w:t>1,2,3,4</w:t>
            </w:r>
          </w:p>
        </w:tc>
      </w:tr>
      <w:tr w:rsidR="006624AB" w14:paraId="57C0AB02"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D4C174" w14:textId="446EB012" w:rsidR="006624AB" w:rsidRDefault="006624AB" w:rsidP="00C31636">
            <w:pPr>
              <w:pStyle w:val="TableRow"/>
              <w:ind w:left="0" w:right="0"/>
            </w:pPr>
            <w:r>
              <w:t xml:space="preserve">Embedding of Little </w:t>
            </w:r>
            <w:proofErr w:type="spellStart"/>
            <w:r>
              <w:t>Wandle</w:t>
            </w:r>
            <w:proofErr w:type="spellEnd"/>
            <w:r>
              <w:t xml:space="preserve"> phonics programme including ongoing training, support and resourcing.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188FC" w14:textId="77777777" w:rsidR="006624AB" w:rsidRDefault="006624AB" w:rsidP="00C31636">
            <w:pPr>
              <w:pStyle w:val="TableRowCentered"/>
              <w:ind w:left="0" w:right="0"/>
              <w:jc w:val="left"/>
            </w:pPr>
            <w:r>
              <w:t xml:space="preserve">The EEF Toolkit states that “phonics approaches have been consistently found to be effective in supporting younger readers to master the basics of reading, with an average impact of an additional four months’ progress.” Educationalists such as Doug </w:t>
            </w:r>
            <w:proofErr w:type="spellStart"/>
            <w:r>
              <w:t>Lemov</w:t>
            </w:r>
            <w:proofErr w:type="spellEnd"/>
            <w:r>
              <w:t xml:space="preserve"> advocate reading as “the gateway to all other curriculum offers” Which means to read, signifying its importance. </w:t>
            </w:r>
          </w:p>
          <w:p w14:paraId="55CBBE41" w14:textId="77777777" w:rsidR="006624AB" w:rsidRDefault="006624AB" w:rsidP="00C31636">
            <w:pPr>
              <w:pStyle w:val="TableRowCentered"/>
              <w:ind w:left="0" w:right="0"/>
              <w:jc w:val="left"/>
            </w:pPr>
            <w:r>
              <w:t xml:space="preserve">High quality programme on DfE recommendation: </w:t>
            </w:r>
          </w:p>
          <w:p w14:paraId="060E5217" w14:textId="4593ADFE" w:rsidR="006624AB" w:rsidRDefault="00FF177A" w:rsidP="00C31636">
            <w:pPr>
              <w:pStyle w:val="TableRowCentered"/>
              <w:ind w:left="0" w:right="0"/>
              <w:jc w:val="left"/>
            </w:pPr>
            <w:hyperlink r:id="rId10" w:history="1">
              <w:r w:rsidR="006624AB" w:rsidRPr="00BC52A2">
                <w:rPr>
                  <w:rStyle w:val="Hyperlink"/>
                </w:rPr>
                <w:t>https://www.gov.uk/government/publications/choosing-a-phonics-teaching-programme/list-of-phonics-teaching-programme</w:t>
              </w:r>
            </w:hyperlink>
            <w:r w:rsidR="006624AB">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6FF2C0" w14:textId="77675B6E" w:rsidR="006624AB" w:rsidRDefault="00D422ED" w:rsidP="00C31636">
            <w:pPr>
              <w:pStyle w:val="TableRowCentered"/>
              <w:ind w:left="0" w:right="0"/>
              <w:jc w:val="left"/>
              <w:rPr>
                <w:sz w:val="22"/>
              </w:rPr>
            </w:pPr>
            <w:r>
              <w:rPr>
                <w:sz w:val="22"/>
              </w:rPr>
              <w:t>1,2,3</w:t>
            </w:r>
          </w:p>
        </w:tc>
      </w:tr>
      <w:tr w:rsidR="00E66558" w14:paraId="2A7D5521"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97CD791" w:rsidR="00E66558" w:rsidRPr="006624AB" w:rsidRDefault="006624AB" w:rsidP="00C31636">
            <w:pPr>
              <w:pStyle w:val="TableRow"/>
              <w:ind w:left="0" w:right="0"/>
              <w:rPr>
                <w:iCs/>
                <w:sz w:val="22"/>
              </w:rPr>
            </w:pPr>
            <w:r>
              <w:t>Quality first teaching – ongoing employment of teachers and teaching assistants, recognising their further development through CPD including courses, coaching/appraisal process and CPD library.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017F85" w14:textId="2C85F413" w:rsidR="006624AB" w:rsidRDefault="006624AB" w:rsidP="00C31636">
            <w:pPr>
              <w:pStyle w:val="TableRowCentered"/>
              <w:ind w:left="0" w:right="0"/>
              <w:jc w:val="left"/>
            </w:pPr>
            <w:r>
              <w:t xml:space="preserve">Quality first teaching is the first strategy to support addressing the needs of all children but is also the greatest way to support those in receipt of the PP grant. To maintain and quality assure QFT to ensure it is of the highest standard, staff need to be retained, progressed and developed through a variety of strategies. </w:t>
            </w:r>
          </w:p>
          <w:p w14:paraId="29F13FD1" w14:textId="77777777" w:rsidR="006624AB" w:rsidRDefault="006624AB" w:rsidP="00C31636">
            <w:pPr>
              <w:pStyle w:val="TableRowCentered"/>
              <w:ind w:left="0" w:right="0"/>
              <w:jc w:val="left"/>
            </w:pPr>
          </w:p>
          <w:p w14:paraId="2A7D551F" w14:textId="42725A5D" w:rsidR="00E66558" w:rsidRDefault="006624AB" w:rsidP="00C31636">
            <w:pPr>
              <w:pStyle w:val="TableRowCentered"/>
              <w:ind w:left="0" w:right="0"/>
              <w:jc w:val="left"/>
              <w:rPr>
                <w:sz w:val="22"/>
              </w:rPr>
            </w:pPr>
            <w:r>
              <w:t>The EEF guide to the Pupil Premium. Education Endowment Foundation. Addressing Educational Disadvantage in Schools and Colleges: The Essex Way Marc Rowland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51429FE" w:rsidR="00E66558" w:rsidRDefault="00D422ED" w:rsidP="00C31636">
            <w:pPr>
              <w:pStyle w:val="TableRowCentered"/>
              <w:ind w:left="0" w:right="0"/>
              <w:jc w:val="left"/>
              <w:rPr>
                <w:sz w:val="22"/>
              </w:rPr>
            </w:pPr>
            <w:r>
              <w:rPr>
                <w:sz w:val="22"/>
              </w:rPr>
              <w:t>1,2,4</w:t>
            </w:r>
          </w:p>
        </w:tc>
      </w:tr>
      <w:tr w:rsidR="006624AB" w14:paraId="2B3662A6"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3A924" w14:textId="38A5CB73" w:rsidR="006624AB" w:rsidRDefault="006624AB" w:rsidP="00C31636">
            <w:pPr>
              <w:pStyle w:val="TableRow"/>
              <w:ind w:left="0" w:right="0"/>
            </w:pPr>
            <w:r>
              <w:t xml:space="preserve">Enable children to have access to the school’s own </w:t>
            </w:r>
            <w:proofErr w:type="gramStart"/>
            <w:r>
              <w:t>in house</w:t>
            </w:r>
            <w:proofErr w:type="gramEnd"/>
            <w:r>
              <w:t xml:space="preserve"> qualified counsellor.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D6B3B" w14:textId="77777777" w:rsidR="006624AB" w:rsidRDefault="006624AB" w:rsidP="00C31636">
            <w:pPr>
              <w:pStyle w:val="TableRowCentered"/>
              <w:ind w:left="0" w:right="0"/>
              <w:jc w:val="left"/>
            </w:pPr>
            <w:r>
              <w:t xml:space="preserve">Pupils able to receive emotional support from a qualified counsellor within school, giving them a greater opportunity to reach their full potential. </w:t>
            </w:r>
          </w:p>
          <w:p w14:paraId="06EE7178" w14:textId="77777777" w:rsidR="006624AB" w:rsidRDefault="006624AB" w:rsidP="00C31636">
            <w:pPr>
              <w:pStyle w:val="TableRowCentered"/>
              <w:ind w:left="0" w:right="0"/>
              <w:jc w:val="left"/>
            </w:pPr>
          </w:p>
          <w:p w14:paraId="2BECC27D" w14:textId="0483C55D" w:rsidR="006624AB" w:rsidRDefault="006624AB" w:rsidP="00C31636">
            <w:pPr>
              <w:pStyle w:val="TableRowCentered"/>
              <w:ind w:left="0" w:right="0"/>
              <w:jc w:val="left"/>
            </w:pPr>
            <w:r>
              <w:lastRenderedPageBreak/>
              <w:t xml:space="preserve">SEMH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E0B5B" w14:textId="319BDB1A" w:rsidR="006624AB" w:rsidRDefault="00D422ED" w:rsidP="00C31636">
            <w:pPr>
              <w:pStyle w:val="TableRowCentered"/>
              <w:ind w:left="0" w:right="0"/>
              <w:jc w:val="left"/>
              <w:rPr>
                <w:sz w:val="22"/>
              </w:rPr>
            </w:pPr>
            <w:r>
              <w:rPr>
                <w:sz w:val="22"/>
              </w:rPr>
              <w:lastRenderedPageBreak/>
              <w:t>3</w:t>
            </w:r>
          </w:p>
        </w:tc>
      </w:tr>
      <w:tr w:rsidR="006624AB" w14:paraId="1CD8E46B"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61928" w14:textId="79DAA755" w:rsidR="006624AB" w:rsidRDefault="00F970F3" w:rsidP="00C31636">
            <w:pPr>
              <w:pStyle w:val="TableRow"/>
              <w:ind w:left="0" w:right="0"/>
            </w:pPr>
            <w:r>
              <w:t xml:space="preserve">Implementation of attendance strategy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5FEB59" w14:textId="54526A07" w:rsidR="006624AB" w:rsidRDefault="00F970F3" w:rsidP="00C31636">
            <w:pPr>
              <w:pStyle w:val="TableRowCentered"/>
              <w:ind w:left="0" w:right="0"/>
              <w:jc w:val="left"/>
            </w:pPr>
            <w:r>
              <w:t>The DfE document, ‘Improving school attendance: support for schools and local authorities’ (2021), recommends for schools to: ‘establish and monitor implementation of rewards for attendance and punctuality’ and to: ‘regularly communicate expectations for attendance and punctuality’. The strategies for attendance include regularly rewarding attendance but also developing communication to prevent absence and lateness.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48AAD" w14:textId="43314884" w:rsidR="006624AB" w:rsidRDefault="00D422ED" w:rsidP="00C31636">
            <w:pPr>
              <w:pStyle w:val="TableRowCentered"/>
              <w:ind w:left="0" w:right="0"/>
              <w:jc w:val="left"/>
              <w:rPr>
                <w:sz w:val="22"/>
              </w:rPr>
            </w:pPr>
            <w:r>
              <w:rPr>
                <w:sz w:val="22"/>
              </w:rPr>
              <w:t>5</w:t>
            </w:r>
          </w:p>
        </w:tc>
      </w:tr>
      <w:tr w:rsidR="00F970F3" w14:paraId="3A8128F6"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B0937" w14:textId="74956B3A" w:rsidR="00F970F3" w:rsidRDefault="00F970F3" w:rsidP="00C31636">
            <w:pPr>
              <w:pStyle w:val="TableRow"/>
              <w:ind w:left="0" w:right="0"/>
            </w:pPr>
            <w:r>
              <w:t>Magic Breakfast Provision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21C2A9" w14:textId="77777777" w:rsidR="00F970F3" w:rsidRDefault="00F970F3" w:rsidP="00C31636">
            <w:pPr>
              <w:pStyle w:val="TableRowCentered"/>
              <w:ind w:left="0" w:right="0"/>
              <w:jc w:val="left"/>
            </w:pPr>
            <w:r>
              <w:t xml:space="preserve">Embedded provision: Our latest audit from Magic Breakfast stated: “It is apparent that staff and pupils are aware of Magic Breakfast. The school is committed to feeding children at risk of hunger. The offer is embedded in the school day”. </w:t>
            </w:r>
          </w:p>
          <w:p w14:paraId="7045F8F8" w14:textId="77777777" w:rsidR="00F970F3" w:rsidRDefault="00F970F3" w:rsidP="00C31636">
            <w:pPr>
              <w:pStyle w:val="TableRowCentered"/>
              <w:ind w:left="0" w:right="0"/>
              <w:jc w:val="left"/>
            </w:pPr>
            <w:r>
              <w:t>Breakfast is available to all target pupils every day and there are no school mandated barriers to access.</w:t>
            </w:r>
          </w:p>
          <w:p w14:paraId="4689844A" w14:textId="77777777" w:rsidR="00F970F3" w:rsidRDefault="00F970F3" w:rsidP="00C31636">
            <w:pPr>
              <w:pStyle w:val="TableRowCentered"/>
              <w:ind w:left="0" w:right="0"/>
              <w:jc w:val="left"/>
            </w:pPr>
            <w:r>
              <w:t xml:space="preserve"> Grab and Go on the playground </w:t>
            </w:r>
            <w:proofErr w:type="gramStart"/>
            <w:r>
              <w:t>is</w:t>
            </w:r>
            <w:proofErr w:type="gramEnd"/>
            <w:r>
              <w:t xml:space="preserve"> offered free of charge for everyone including nursery, any late children and available throughout the morning. 86% of pupils are eating breakfast AND target children take up is at least in proportion to number of target pupils in school across all provisions. </w:t>
            </w:r>
          </w:p>
          <w:p w14:paraId="64158851" w14:textId="77777777" w:rsidR="00F970F3" w:rsidRDefault="00F970F3" w:rsidP="00C31636">
            <w:pPr>
              <w:pStyle w:val="TableRowCentered"/>
              <w:ind w:left="0" w:right="0"/>
              <w:jc w:val="left"/>
            </w:pPr>
            <w:r>
              <w:t>“Readiness for Learning” Magic Breakfast research evidence “Overwhelming evidence of the positive impact that eating a nutritious breakfast has on school children. 72% reported improved educational attainment among pupils who attend breakfast club with 81% reporting increased energy levels/alertness and 88% reporting improved concentration levels among pupils.</w:t>
            </w:r>
          </w:p>
          <w:p w14:paraId="1FCE5C6A" w14:textId="77777777" w:rsidR="00F970F3" w:rsidRDefault="00F970F3" w:rsidP="00C31636">
            <w:pPr>
              <w:pStyle w:val="TableRowCentered"/>
              <w:ind w:left="0" w:right="0"/>
              <w:jc w:val="left"/>
            </w:pPr>
          </w:p>
          <w:p w14:paraId="34FD8249" w14:textId="160FF912" w:rsidR="00F970F3" w:rsidRDefault="00FF177A" w:rsidP="00C31636">
            <w:pPr>
              <w:pStyle w:val="TableRowCentered"/>
              <w:ind w:left="0" w:right="0"/>
              <w:jc w:val="left"/>
            </w:pPr>
            <w:hyperlink r:id="rId11" w:history="1">
              <w:r w:rsidR="00F970F3" w:rsidRPr="00B369A2">
                <w:rPr>
                  <w:rStyle w:val="Hyperlink"/>
                </w:rPr>
                <w:t>https://educationendowmentfoundation.org.uk/projects-and-evaluation/projects/magic-breakfast</w:t>
              </w:r>
            </w:hyperlink>
            <w:r w:rsidR="00F970F3">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BF55F" w14:textId="1F83AB6A" w:rsidR="00F970F3" w:rsidRDefault="00D422ED" w:rsidP="00C31636">
            <w:pPr>
              <w:pStyle w:val="TableRowCentered"/>
              <w:ind w:left="0" w:right="0"/>
              <w:jc w:val="left"/>
              <w:rPr>
                <w:sz w:val="22"/>
              </w:rPr>
            </w:pPr>
            <w:r>
              <w:rPr>
                <w:sz w:val="22"/>
              </w:rPr>
              <w:t>3,5</w:t>
            </w:r>
          </w:p>
        </w:tc>
      </w:tr>
      <w:tr w:rsidR="00F970F3" w14:paraId="447C3697" w14:textId="77777777" w:rsidTr="7235C2A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7F2D7" w14:textId="72B797E0" w:rsidR="00F970F3" w:rsidRDefault="00F970F3" w:rsidP="00C31636">
            <w:pPr>
              <w:pStyle w:val="TableRow"/>
              <w:ind w:left="0" w:right="0"/>
            </w:pPr>
            <w:r>
              <w:t>Children have access to experiences and trips which add to their understanding of the world and enhance the richness of their education, increasing aspirational outcomes and cultural capital.</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3E6EC" w14:textId="2A1E9878" w:rsidR="00F970F3" w:rsidRDefault="00F970F3" w:rsidP="00C31636">
            <w:pPr>
              <w:pStyle w:val="TableRowCentered"/>
              <w:ind w:left="0" w:right="0"/>
              <w:jc w:val="left"/>
            </w:pPr>
            <w:r>
              <w:t xml:space="preserve">When trips, visits and experiences explicitly addressed curriculum content, they impacted significantly on progression and attainment. (Dr Jane </w:t>
            </w:r>
            <w:proofErr w:type="spellStart"/>
            <w:r>
              <w:t>Dudman</w:t>
            </w:r>
            <w:proofErr w:type="spellEnd"/>
            <w:r>
              <w:t xml:space="preserve">, Carrie Hedges &amp; Dr Chris </w:t>
            </w:r>
            <w:proofErr w:type="spellStart"/>
            <w:r>
              <w:t>Loynes</w:t>
            </w:r>
            <w:proofErr w:type="spellEnd"/>
            <w:r>
              <w:t xml:space="preserve">, 2018). </w:t>
            </w:r>
          </w:p>
          <w:p w14:paraId="72CBF7ED" w14:textId="77777777" w:rsidR="00F970F3" w:rsidRDefault="00F970F3" w:rsidP="00C31636">
            <w:pPr>
              <w:pStyle w:val="TableRowCentered"/>
              <w:ind w:left="0" w:right="0"/>
              <w:jc w:val="left"/>
            </w:pPr>
          </w:p>
          <w:p w14:paraId="7FBBF772" w14:textId="461A0B9E" w:rsidR="00F970F3" w:rsidRDefault="00F970F3" w:rsidP="00C31636">
            <w:pPr>
              <w:pStyle w:val="TableRowCentered"/>
              <w:ind w:left="0" w:right="0"/>
              <w:jc w:val="left"/>
            </w:pPr>
            <w:r>
              <w:t xml:space="preserve">Although assumptions should not be made regarding the experiences of children in receipt of the PP grant, the </w:t>
            </w:r>
            <w:proofErr w:type="gramStart"/>
            <w:r>
              <w:t>cost of living</w:t>
            </w:r>
            <w:proofErr w:type="gramEnd"/>
            <w:r>
              <w:t xml:space="preserve"> crisis suggests that day trips, holidays and general experiences may not be prioritised in many homes. Supporting children in accessing such experiences not only provides an opportunity for them to see beyond their own community but also to allow them develop their cultural capital and future aspirations, impacting on their academic development too.</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0CC58" w14:textId="1953CFE3" w:rsidR="00F970F3" w:rsidRDefault="00D422ED" w:rsidP="00C31636">
            <w:pPr>
              <w:pStyle w:val="TableRowCentered"/>
              <w:ind w:left="0" w:right="0"/>
              <w:jc w:val="left"/>
              <w:rPr>
                <w:sz w:val="22"/>
              </w:rPr>
            </w:pPr>
            <w:r>
              <w:rPr>
                <w:sz w:val="22"/>
              </w:rPr>
              <w:t>4</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03329483" w:rsidR="00E66558" w:rsidRDefault="009D71E8">
      <w:r>
        <w:t>Budgeted cost: £</w:t>
      </w:r>
      <w:r w:rsidR="7B5E6352">
        <w:t>28,172</w:t>
      </w:r>
    </w:p>
    <w:tbl>
      <w:tblPr>
        <w:tblW w:w="5000" w:type="pct"/>
        <w:tblCellMar>
          <w:left w:w="10" w:type="dxa"/>
          <w:right w:w="10" w:type="dxa"/>
        </w:tblCellMar>
        <w:tblLook w:val="04A0" w:firstRow="1" w:lastRow="0" w:firstColumn="1" w:lastColumn="0" w:noHBand="0" w:noVBand="1"/>
      </w:tblPr>
      <w:tblGrid>
        <w:gridCol w:w="2189"/>
        <w:gridCol w:w="6261"/>
        <w:gridCol w:w="2006"/>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1B8C7EB" w:rsidR="00E66558" w:rsidRPr="00F970F3" w:rsidRDefault="00F970F3" w:rsidP="00C31636">
            <w:pPr>
              <w:pStyle w:val="TableRow"/>
              <w:ind w:left="0" w:right="0"/>
            </w:pPr>
            <w:r>
              <w:t>Use of social and emotional interventions such as the use of Lego therapy and zones of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7F33" w14:textId="77777777" w:rsidR="00F970F3" w:rsidRDefault="00F970F3" w:rsidP="00F970F3">
            <w:pPr>
              <w:pStyle w:val="TableRowCentered"/>
              <w:ind w:left="0" w:right="0"/>
              <w:jc w:val="left"/>
            </w:pPr>
            <w:r>
              <w:t>The use of social and emotional interventions within schools is a proactive measure to supporting the children’s mental health and behaviour but can also be used reactively when combined with the use of Leuven’s data for identification. These interventions take part as groups, allowing children to develop their relationships with others and supporting them in understanding themselves better as well as developing their skills of regulation and reflection.</w:t>
            </w:r>
          </w:p>
          <w:p w14:paraId="2D20845F" w14:textId="77777777" w:rsidR="00F970F3" w:rsidRDefault="00F970F3" w:rsidP="00F970F3">
            <w:pPr>
              <w:pStyle w:val="TableRowCentered"/>
              <w:ind w:left="0" w:right="0"/>
              <w:jc w:val="left"/>
            </w:pPr>
          </w:p>
          <w:p w14:paraId="2A7D552A" w14:textId="5382F6DF" w:rsidR="00E66558" w:rsidRDefault="00FF177A" w:rsidP="00F970F3">
            <w:pPr>
              <w:pStyle w:val="TableRowCentered"/>
              <w:ind w:left="0" w:right="0"/>
              <w:jc w:val="left"/>
              <w:rPr>
                <w:sz w:val="22"/>
              </w:rPr>
            </w:pPr>
            <w:hyperlink r:id="rId12" w:history="1">
              <w:r w:rsidR="00F970F3" w:rsidRPr="00BC52A2">
                <w:rPr>
                  <w:rStyle w:val="Hyperlink"/>
                </w:rPr>
                <w:t>https://educationendowmentfoundation.org.uk/education-evidence/teaching-learning-toolkit/social-and-emotional-learning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7365B7" w:rsidR="00E66558" w:rsidRDefault="00D422ED" w:rsidP="00C31636">
            <w:pPr>
              <w:pStyle w:val="TableRowCentered"/>
              <w:ind w:left="0" w:right="0"/>
              <w:jc w:val="left"/>
              <w:rPr>
                <w:sz w:val="22"/>
              </w:rPr>
            </w:pPr>
            <w:r>
              <w:rPr>
                <w:sz w:val="22"/>
              </w:rPr>
              <w:t>2,3</w:t>
            </w:r>
          </w:p>
        </w:tc>
      </w:tr>
      <w:tr w:rsidR="00F970F3"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E1D0" w14:textId="19F7E7EE" w:rsidR="00F970F3" w:rsidRDefault="00F970F3" w:rsidP="00F970F3">
            <w:pPr>
              <w:pStyle w:val="TableRow"/>
              <w:ind w:left="0" w:right="0"/>
            </w:pPr>
            <w:r>
              <w:t xml:space="preserve">Interventions used to complement quality first teaching though the use of specialised digital programmes: Times Tables Rock Stars </w:t>
            </w:r>
          </w:p>
          <w:p w14:paraId="7F85BA75" w14:textId="77777777" w:rsidR="00F970F3" w:rsidRDefault="00F970F3" w:rsidP="00F970F3">
            <w:pPr>
              <w:pStyle w:val="TableRow"/>
              <w:ind w:left="0" w:right="0"/>
            </w:pPr>
            <w:r>
              <w:t>Dynamo Maths</w:t>
            </w:r>
          </w:p>
          <w:p w14:paraId="2A7D552D" w14:textId="484F08CC" w:rsidR="00F970F3" w:rsidRDefault="00F970F3" w:rsidP="00F970F3">
            <w:pPr>
              <w:pStyle w:val="TableRow"/>
              <w:ind w:left="0" w:right="0"/>
              <w:rPr>
                <w:i/>
                <w:sz w:val="22"/>
              </w:rPr>
            </w:pPr>
            <w:r>
              <w:t>Mathletics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F1DCA87" w:rsidR="00F970F3" w:rsidRDefault="00F970F3" w:rsidP="00F970F3">
            <w:pPr>
              <w:pStyle w:val="TableRowCentered"/>
              <w:ind w:left="0" w:right="0"/>
              <w:jc w:val="left"/>
              <w:rPr>
                <w:sz w:val="22"/>
              </w:rPr>
            </w:pPr>
            <w:r>
              <w:t>Spaced learning and retrieval practice are recognised practices which enhance the learning of children. Regular practise/application of skills allows children to develop and consolidate skills taught in main lessons, supporting them in keeping up rather than catching up.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006A516" w:rsidR="00F970F3" w:rsidRDefault="005D1910" w:rsidP="00F970F3">
            <w:pPr>
              <w:pStyle w:val="TableRowCentered"/>
              <w:ind w:left="0" w:right="0"/>
              <w:jc w:val="left"/>
              <w:rPr>
                <w:sz w:val="22"/>
              </w:rPr>
            </w:pPr>
            <w:r>
              <w:rPr>
                <w:sz w:val="22"/>
              </w:rPr>
              <w:t>1,2,3</w:t>
            </w:r>
          </w:p>
        </w:tc>
      </w:tr>
      <w:tr w:rsidR="00F970F3" w14:paraId="758BA88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E3CA" w14:textId="77777777" w:rsidR="00F970F3" w:rsidRDefault="00F970F3" w:rsidP="00F970F3">
            <w:pPr>
              <w:pStyle w:val="TableRow"/>
              <w:ind w:left="0" w:right="0"/>
            </w:pPr>
            <w:r>
              <w:t xml:space="preserve">Careful gaps analysis of assessment followed up by interventions based on analysis. </w:t>
            </w:r>
          </w:p>
          <w:p w14:paraId="7A45FC85" w14:textId="77777777" w:rsidR="00F970F3" w:rsidRDefault="00F970F3" w:rsidP="00F970F3">
            <w:pPr>
              <w:pStyle w:val="TableRow"/>
              <w:ind w:left="0" w:right="0"/>
            </w:pPr>
          </w:p>
          <w:p w14:paraId="09CC2878" w14:textId="69F5617E" w:rsidR="00F970F3" w:rsidRDefault="00F970F3" w:rsidP="00F970F3">
            <w:pPr>
              <w:pStyle w:val="TableRow"/>
              <w:ind w:left="0" w:right="0"/>
            </w:pPr>
            <w:proofErr w:type="spellStart"/>
            <w:r>
              <w:t>Smartgrade</w:t>
            </w:r>
            <w:proofErr w:type="spellEnd"/>
          </w:p>
          <w:p w14:paraId="783941B5" w14:textId="77777777" w:rsidR="00F970F3" w:rsidRDefault="00F970F3" w:rsidP="00F970F3">
            <w:pPr>
              <w:pStyle w:val="TableRow"/>
              <w:ind w:left="0" w:right="0"/>
            </w:pPr>
          </w:p>
          <w:p w14:paraId="759EDE46" w14:textId="479AACD9" w:rsidR="00F970F3" w:rsidRDefault="00F970F3" w:rsidP="00F970F3">
            <w:r>
              <w:t>Insight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23EE" w14:textId="64EF9142" w:rsidR="00F970F3" w:rsidRDefault="00F970F3" w:rsidP="00F970F3">
            <w:pPr>
              <w:pStyle w:val="TableRowCentered"/>
              <w:ind w:left="0" w:right="0"/>
              <w:jc w:val="left"/>
              <w:rPr>
                <w:sz w:val="22"/>
              </w:rPr>
            </w:pPr>
            <w:r>
              <w:t xml:space="preserve">The use of </w:t>
            </w:r>
            <w:proofErr w:type="spellStart"/>
            <w:r>
              <w:t>Smartgrade</w:t>
            </w:r>
            <w:proofErr w:type="spellEnd"/>
            <w:r>
              <w:t xml:space="preserve"> for gaps analysis ensures that the elements which the </w:t>
            </w:r>
            <w:proofErr w:type="gramStart"/>
            <w:r>
              <w:t>children</w:t>
            </w:r>
            <w:proofErr w:type="gramEnd"/>
            <w:r>
              <w:t xml:space="preserve"> complete interventions on are bespoke to them and their needs. Interventions are completed by teachers and TAs who work directly with the class, ensuring that the learning parallels what is taught and thereby enhances rather than detracting from the quality first teaching. Where there are many children needing a specific intervention, then this may be added as a whole class intervention by the teacher, again as a way to enhance the quality first teaching being completed.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4F15" w14:textId="11F22A14" w:rsidR="00F970F3" w:rsidRDefault="005D1910" w:rsidP="00F970F3">
            <w:pPr>
              <w:pStyle w:val="TableRowCentered"/>
              <w:ind w:left="0" w:right="0"/>
              <w:jc w:val="left"/>
              <w:rPr>
                <w:sz w:val="22"/>
              </w:rPr>
            </w:pPr>
            <w:r>
              <w:rPr>
                <w:sz w:val="22"/>
              </w:rPr>
              <w:t>1,2,3,5</w:t>
            </w:r>
          </w:p>
        </w:tc>
      </w:tr>
      <w:tr w:rsidR="00F970F3" w14:paraId="6B551C0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3C9B" w14:textId="11B5C8F6" w:rsidR="00F970F3" w:rsidRDefault="00F970F3" w:rsidP="00F970F3">
            <w:pPr>
              <w:pStyle w:val="TableRow"/>
              <w:ind w:left="0" w:right="0"/>
            </w:pPr>
            <w:r>
              <w:t xml:space="preserve">Oral language interventions: • Early Talk Boost language </w:t>
            </w:r>
            <w:r>
              <w:lastRenderedPageBreak/>
              <w:t>intervention delivered in EYFS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6BEF" w14:textId="77777777" w:rsidR="00F970F3" w:rsidRDefault="00F970F3" w:rsidP="00F970F3">
            <w:pPr>
              <w:pStyle w:val="TableRowCentered"/>
              <w:ind w:left="0" w:right="0"/>
              <w:jc w:val="left"/>
            </w:pPr>
            <w:r>
              <w:lastRenderedPageBreak/>
              <w:t xml:space="preserve">EEF toolkit: Evidence shows the average impact of Oral language interventions is approximately an additional six months’ progress over the course of a year. Some studies also often report improved classroom climate </w:t>
            </w:r>
            <w:r>
              <w:lastRenderedPageBreak/>
              <w:t xml:space="preserve">and fewer behavioural issues following work on oral language. </w:t>
            </w:r>
          </w:p>
          <w:p w14:paraId="0848C9F8" w14:textId="2E76B33F" w:rsidR="00F970F3" w:rsidRDefault="00F970F3" w:rsidP="00F970F3">
            <w:pPr>
              <w:pStyle w:val="TableRowCentered"/>
              <w:ind w:left="0" w:right="0"/>
              <w:jc w:val="left"/>
            </w:pPr>
            <w:r>
              <w:t xml:space="preserve">https://educationendowmentfoundation.org.uk/edu cation-evidence/teaching-learning-toolkit/oral   </w:t>
            </w:r>
          </w:p>
          <w:p w14:paraId="707A1073" w14:textId="77777777" w:rsidR="00F970F3" w:rsidRDefault="00F970F3" w:rsidP="00F970F3">
            <w:pPr>
              <w:pStyle w:val="TableRowCentered"/>
              <w:ind w:left="0" w:right="0"/>
              <w:jc w:val="left"/>
            </w:pPr>
            <w:r>
              <w:t xml:space="preserve">language-interventions Early talk Boost evaluation report: On average, children make six months’ progress in their early language development after the nine-week intervention, helping them to narrow the gap between them and other children their age. </w:t>
            </w:r>
          </w:p>
          <w:p w14:paraId="6D3EBAE8" w14:textId="0AC7A164" w:rsidR="00F970F3" w:rsidRDefault="00FF177A" w:rsidP="00F970F3">
            <w:pPr>
              <w:pStyle w:val="TableRowCentered"/>
              <w:ind w:left="0" w:right="0"/>
              <w:jc w:val="left"/>
            </w:pPr>
            <w:hyperlink r:id="rId13" w:history="1">
              <w:r w:rsidR="00F970F3" w:rsidRPr="00B369A2">
                <w:rPr>
                  <w:rStyle w:val="Hyperlink"/>
                </w:rPr>
                <w:t>https://ican.org.uk/media/2003/early-talk-boost</w:t>
              </w:r>
            </w:hyperlink>
            <w:r w:rsidR="00F970F3">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543C2" w14:textId="176C9EF0" w:rsidR="00F970F3" w:rsidRDefault="005D1910" w:rsidP="00F970F3">
            <w:pPr>
              <w:pStyle w:val="TableRowCentered"/>
              <w:ind w:left="0" w:right="0"/>
              <w:jc w:val="left"/>
              <w:rPr>
                <w:sz w:val="22"/>
              </w:rPr>
            </w:pPr>
            <w:r>
              <w:rPr>
                <w:sz w:val="22"/>
              </w:rPr>
              <w:lastRenderedPageBreak/>
              <w:t>1,2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8CD9438" w:rsidR="00E66558" w:rsidRDefault="009D71E8">
      <w:pPr>
        <w:spacing w:before="240" w:after="120"/>
      </w:pPr>
      <w:r>
        <w:t>Budgeted cost: £</w:t>
      </w:r>
      <w:r w:rsidR="43890E48">
        <w:t>65,000</w:t>
      </w:r>
    </w:p>
    <w:tbl>
      <w:tblPr>
        <w:tblW w:w="5000" w:type="pct"/>
        <w:tblLayout w:type="fixed"/>
        <w:tblCellMar>
          <w:left w:w="10" w:type="dxa"/>
          <w:right w:w="10" w:type="dxa"/>
        </w:tblCellMar>
        <w:tblLook w:val="04A0" w:firstRow="1" w:lastRow="0" w:firstColumn="1" w:lastColumn="0" w:noHBand="0" w:noVBand="1"/>
      </w:tblPr>
      <w:tblGrid>
        <w:gridCol w:w="2026"/>
        <w:gridCol w:w="6718"/>
        <w:gridCol w:w="1712"/>
      </w:tblGrid>
      <w:tr w:rsidR="00E66558" w14:paraId="2A7D5537" w14:textId="77777777" w:rsidTr="0034011A">
        <w:tc>
          <w:tcPr>
            <w:tcW w:w="202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671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7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34011A">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B6763EC" w:rsidR="00E66558" w:rsidRPr="006624AB" w:rsidRDefault="006624AB" w:rsidP="00C31636">
            <w:pPr>
              <w:pStyle w:val="TableRow"/>
              <w:ind w:left="0" w:right="0"/>
            </w:pPr>
            <w:r>
              <w:t xml:space="preserve">In house School Counsellor Pupils are able to receive emotional support form a qualified person enabling a greater opportunity to reach their full potential. </w:t>
            </w:r>
          </w:p>
        </w:tc>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AB925" w14:textId="77777777" w:rsidR="006624AB" w:rsidRDefault="006624AB" w:rsidP="00C31636">
            <w:pPr>
              <w:pStyle w:val="TableRowCentered"/>
              <w:ind w:left="0" w:right="0"/>
              <w:jc w:val="left"/>
            </w:pPr>
            <w:r>
              <w:t xml:space="preserve">Have an understanding of self-regulation and dealing with difficult and distressing situations. </w:t>
            </w:r>
          </w:p>
          <w:p w14:paraId="6DF0A81B" w14:textId="77777777" w:rsidR="00E66558" w:rsidRDefault="00E66558" w:rsidP="00C31636">
            <w:pPr>
              <w:pStyle w:val="TableRowCentered"/>
              <w:ind w:left="0" w:right="0"/>
              <w:jc w:val="left"/>
            </w:pPr>
          </w:p>
          <w:p w14:paraId="61C5315D" w14:textId="6748086A" w:rsidR="006624AB" w:rsidRDefault="00FF177A" w:rsidP="00C31636">
            <w:pPr>
              <w:pStyle w:val="TableRowCentered"/>
              <w:ind w:left="0" w:right="0"/>
              <w:jc w:val="left"/>
              <w:rPr>
                <w:sz w:val="22"/>
              </w:rPr>
            </w:pPr>
            <w:hyperlink r:id="rId14" w:history="1">
              <w:r w:rsidR="006624AB" w:rsidRPr="00BC52A2">
                <w:rPr>
                  <w:rStyle w:val="Hyperlink"/>
                  <w:sz w:val="22"/>
                </w:rPr>
                <w:t>https://educationendowmentfoundation.org.uk/education-evidence/teaching-learning-toolkit/metacognition-and-self-regulation</w:t>
              </w:r>
            </w:hyperlink>
          </w:p>
          <w:p w14:paraId="1B0CEC96" w14:textId="77777777" w:rsidR="006624AB" w:rsidRDefault="006624AB" w:rsidP="00C31636">
            <w:pPr>
              <w:pStyle w:val="TableRowCentered"/>
              <w:ind w:left="0" w:right="0"/>
              <w:jc w:val="left"/>
              <w:rPr>
                <w:sz w:val="22"/>
              </w:rPr>
            </w:pPr>
          </w:p>
          <w:p w14:paraId="2A7D5539" w14:textId="56137981" w:rsidR="006624AB" w:rsidRDefault="00FF177A" w:rsidP="00C31636">
            <w:pPr>
              <w:pStyle w:val="TableRowCentered"/>
              <w:ind w:left="0" w:right="0"/>
              <w:jc w:val="left"/>
              <w:rPr>
                <w:sz w:val="22"/>
              </w:rPr>
            </w:pPr>
            <w:hyperlink r:id="rId15" w:history="1">
              <w:r w:rsidR="006624AB" w:rsidRPr="00BC52A2">
                <w:rPr>
                  <w:rStyle w:val="Hyperlink"/>
                  <w:sz w:val="22"/>
                </w:rPr>
                <w:t>https://d2tic4wvo1iusb.cloudfront.net/production/eef-guidance-reports/primary-sel/EEF_Social_and_Emotional_Learning.pdf?v=1731076872</w:t>
              </w:r>
            </w:hyperlink>
            <w:r w:rsidR="006624AB">
              <w:rPr>
                <w:sz w:val="22"/>
              </w:rPr>
              <w:t xml:space="preserve"> </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0F562F8" w:rsidR="00E66558" w:rsidRDefault="005D1910" w:rsidP="00C31636">
            <w:pPr>
              <w:pStyle w:val="TableRowCentered"/>
              <w:ind w:left="0" w:right="0"/>
              <w:jc w:val="left"/>
              <w:rPr>
                <w:sz w:val="22"/>
              </w:rPr>
            </w:pPr>
            <w:r>
              <w:rPr>
                <w:sz w:val="22"/>
              </w:rPr>
              <w:t>1,2,3,5</w:t>
            </w:r>
          </w:p>
        </w:tc>
      </w:tr>
      <w:tr w:rsidR="00E66558" w14:paraId="2A7D553F" w14:textId="77777777" w:rsidTr="0034011A">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439E5C4" w:rsidR="00E66558" w:rsidRPr="006624AB" w:rsidRDefault="006624AB" w:rsidP="00C31636">
            <w:pPr>
              <w:pStyle w:val="TableRow"/>
              <w:ind w:left="0" w:right="0"/>
              <w:rPr>
                <w:iCs/>
                <w:sz w:val="22"/>
              </w:rPr>
            </w:pPr>
            <w:r>
              <w:t>School Attendance Officer working with families to improve attendance and reduce lateness. New attendance initiatives.</w:t>
            </w:r>
          </w:p>
        </w:tc>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E3FD" w14:textId="77777777" w:rsidR="006624AB" w:rsidRDefault="006624AB" w:rsidP="00C31636">
            <w:pPr>
              <w:pStyle w:val="TableRowCentered"/>
              <w:ind w:left="0" w:right="0"/>
              <w:jc w:val="left"/>
            </w:pPr>
            <w:r>
              <w:t xml:space="preserve">School Attendance Officer helping to support families to maintain the level of attendance expected. “Persistent school non-attendance is associated with child and adult mental health difficulties”. </w:t>
            </w:r>
          </w:p>
          <w:p w14:paraId="7A513A9A" w14:textId="77777777" w:rsidR="006624AB" w:rsidRDefault="006624AB" w:rsidP="00C31636">
            <w:pPr>
              <w:pStyle w:val="TableRowCentered"/>
              <w:ind w:left="0" w:right="0"/>
              <w:jc w:val="left"/>
            </w:pPr>
            <w:r>
              <w:t xml:space="preserve">Attendance recommendations Parent support meetings to be offered if necessary. </w:t>
            </w:r>
          </w:p>
          <w:p w14:paraId="1A53CAD4" w14:textId="77777777" w:rsidR="006624AB" w:rsidRDefault="006624AB" w:rsidP="00C31636">
            <w:pPr>
              <w:pStyle w:val="TableRowCentered"/>
              <w:ind w:left="0" w:right="0"/>
              <w:jc w:val="left"/>
            </w:pPr>
            <w:r>
              <w:t xml:space="preserve">Working with parents to improve attendance Late gate and first day absence reporting daily. </w:t>
            </w:r>
          </w:p>
          <w:p w14:paraId="555E5EC7" w14:textId="7E4BDF42" w:rsidR="00E66558" w:rsidRDefault="006624AB" w:rsidP="00C31636">
            <w:pPr>
              <w:pStyle w:val="TableRowCentered"/>
              <w:ind w:left="0" w:right="0"/>
              <w:jc w:val="left"/>
            </w:pPr>
            <w:r>
              <w:t>Follow the correct protocol for pupil attendance. “Small changes matter”</w:t>
            </w:r>
          </w:p>
          <w:p w14:paraId="3FC0E036" w14:textId="77777777" w:rsidR="006624AB" w:rsidRDefault="006624AB" w:rsidP="00C31636">
            <w:pPr>
              <w:pStyle w:val="TableRowCentered"/>
              <w:ind w:left="0" w:right="0"/>
              <w:jc w:val="left"/>
            </w:pPr>
          </w:p>
          <w:p w14:paraId="22D79CB1" w14:textId="5763190E" w:rsidR="006624AB" w:rsidRDefault="00FF177A" w:rsidP="00C31636">
            <w:pPr>
              <w:pStyle w:val="TableRowCentered"/>
              <w:ind w:left="0" w:right="0"/>
              <w:jc w:val="left"/>
            </w:pPr>
            <w:hyperlink r:id="rId16" w:history="1">
              <w:r w:rsidR="006624AB" w:rsidRPr="00BC52A2">
                <w:rPr>
                  <w:rStyle w:val="Hyperlink"/>
                </w:rPr>
                <w:t>https://educationendowmentfoundation.org.uk/education-evidence/guidance-reports/supporting-parents</w:t>
              </w:r>
            </w:hyperlink>
            <w:r w:rsidR="006624AB">
              <w:t xml:space="preserve"> </w:t>
            </w:r>
          </w:p>
          <w:p w14:paraId="0FC511E5" w14:textId="164C2F92" w:rsidR="006624AB" w:rsidRDefault="006624AB" w:rsidP="00C31636">
            <w:pPr>
              <w:pStyle w:val="TableRowCentered"/>
              <w:ind w:left="0" w:right="0"/>
              <w:jc w:val="left"/>
            </w:pPr>
          </w:p>
          <w:p w14:paraId="03C9C26B" w14:textId="71606F70" w:rsidR="006624AB" w:rsidRDefault="00FF177A" w:rsidP="00C31636">
            <w:pPr>
              <w:pStyle w:val="TableRowCentered"/>
              <w:ind w:left="0" w:right="0"/>
              <w:jc w:val="left"/>
            </w:pPr>
            <w:hyperlink r:id="rId17" w:history="1">
              <w:r w:rsidR="006624AB" w:rsidRPr="00BC52A2">
                <w:rPr>
                  <w:rStyle w:val="Hyperlink"/>
                </w:rPr>
                <w:t>https://assets.publishing.service.gov.uk/media/66bf300da44f1c4c23e5bd1b/Working_together_to_improve_school_attendance_-_August_2024.pdf</w:t>
              </w:r>
            </w:hyperlink>
            <w:r w:rsidR="006624AB">
              <w:t xml:space="preserve"> </w:t>
            </w:r>
          </w:p>
          <w:p w14:paraId="2A7D553D" w14:textId="2066CD1D" w:rsidR="006624AB" w:rsidRDefault="006624AB" w:rsidP="00C31636">
            <w:pPr>
              <w:pStyle w:val="TableRowCentered"/>
              <w:ind w:left="0" w:right="0"/>
              <w:jc w:val="left"/>
              <w:rPr>
                <w:sz w:val="22"/>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E27D31" w:rsidR="00E66558" w:rsidRDefault="005D1910" w:rsidP="00C31636">
            <w:pPr>
              <w:pStyle w:val="TableRowCentered"/>
              <w:ind w:left="0" w:right="0"/>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1D5AE965" w:rsidR="00E66558" w:rsidRDefault="009D71E8" w:rsidP="7235C2A4">
      <w:pPr>
        <w:rPr>
          <w:i/>
          <w:iCs/>
          <w:color w:val="104F75"/>
          <w:sz w:val="28"/>
          <w:szCs w:val="28"/>
          <w:highlight w:val="yellow"/>
        </w:rPr>
      </w:pPr>
      <w:r w:rsidRPr="7235C2A4">
        <w:rPr>
          <w:b/>
          <w:bCs/>
          <w:color w:val="104F75"/>
          <w:sz w:val="28"/>
          <w:szCs w:val="28"/>
        </w:rPr>
        <w:t>Total budgeted cost: £</w:t>
      </w:r>
      <w:r w:rsidR="1DE4A1A6" w:rsidRPr="7235C2A4">
        <w:rPr>
          <w:b/>
          <w:bCs/>
          <w:color w:val="104F75"/>
          <w:sz w:val="28"/>
          <w:szCs w:val="28"/>
        </w:rPr>
        <w:t>186,345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Style w:val="TableGrid0"/>
        <w:tblW w:w="10525" w:type="dxa"/>
        <w:tblInd w:w="6" w:type="dxa"/>
        <w:tblCellMar>
          <w:top w:w="54" w:type="dxa"/>
          <w:left w:w="107" w:type="dxa"/>
          <w:right w:w="54" w:type="dxa"/>
        </w:tblCellMar>
        <w:tblLook w:val="04A0" w:firstRow="1" w:lastRow="0" w:firstColumn="1" w:lastColumn="0" w:noHBand="0" w:noVBand="1"/>
      </w:tblPr>
      <w:tblGrid>
        <w:gridCol w:w="1656"/>
        <w:gridCol w:w="1735"/>
        <w:gridCol w:w="7134"/>
      </w:tblGrid>
      <w:tr w:rsidR="007C0BF9" w:rsidRPr="00BC5F0F" w14:paraId="59B89F67" w14:textId="77777777" w:rsidTr="0034011A">
        <w:trPr>
          <w:trHeight w:val="421"/>
        </w:trPr>
        <w:tc>
          <w:tcPr>
            <w:tcW w:w="1656" w:type="dxa"/>
            <w:tcBorders>
              <w:top w:val="single" w:sz="4" w:space="0" w:color="000000"/>
              <w:left w:val="single" w:sz="4" w:space="0" w:color="000000"/>
              <w:bottom w:val="single" w:sz="4" w:space="0" w:color="000000"/>
              <w:right w:val="single" w:sz="4" w:space="0" w:color="000000"/>
            </w:tcBorders>
            <w:shd w:val="clear" w:color="auto" w:fill="BFBFBF"/>
          </w:tcPr>
          <w:p w14:paraId="08EAEF4C" w14:textId="77777777" w:rsidR="00BC5F0F" w:rsidRPr="00BC5F0F" w:rsidRDefault="00BC5F0F" w:rsidP="00BC5F0F">
            <w:pPr>
              <w:suppressAutoHyphens w:val="0"/>
              <w:spacing w:after="0" w:line="259" w:lineRule="auto"/>
              <w:ind w:left="3"/>
              <w:rPr>
                <w:rFonts w:eastAsia="Calibri" w:cs="Calibri"/>
                <w:szCs w:val="22"/>
              </w:rPr>
            </w:pPr>
            <w:r w:rsidRPr="00BC5F0F">
              <w:rPr>
                <w:rFonts w:eastAsia="Calibri" w:cs="Calibri"/>
                <w:szCs w:val="22"/>
              </w:rPr>
              <w:t xml:space="preserve">Intended outcome </w:t>
            </w:r>
          </w:p>
        </w:tc>
        <w:tc>
          <w:tcPr>
            <w:tcW w:w="1735" w:type="dxa"/>
            <w:tcBorders>
              <w:top w:val="single" w:sz="4" w:space="0" w:color="000000"/>
              <w:left w:val="single" w:sz="4" w:space="0" w:color="000000"/>
              <w:bottom w:val="single" w:sz="4" w:space="0" w:color="000000"/>
              <w:right w:val="single" w:sz="4" w:space="0" w:color="000000"/>
            </w:tcBorders>
            <w:shd w:val="clear" w:color="auto" w:fill="BFBFBF"/>
          </w:tcPr>
          <w:p w14:paraId="37EAF9AC" w14:textId="77777777" w:rsidR="00BC5F0F" w:rsidRPr="00BC5F0F" w:rsidRDefault="00BC5F0F" w:rsidP="00BC5F0F">
            <w:pPr>
              <w:suppressAutoHyphens w:val="0"/>
              <w:spacing w:after="0" w:line="259" w:lineRule="auto"/>
              <w:ind w:left="4"/>
              <w:rPr>
                <w:rFonts w:eastAsia="Calibri" w:cs="Calibri"/>
                <w:szCs w:val="22"/>
              </w:rPr>
            </w:pPr>
            <w:r w:rsidRPr="00BC5F0F">
              <w:rPr>
                <w:rFonts w:eastAsia="Calibri" w:cs="Calibri"/>
                <w:szCs w:val="22"/>
              </w:rPr>
              <w:t xml:space="preserve">Success criteria </w:t>
            </w:r>
          </w:p>
        </w:tc>
        <w:tc>
          <w:tcPr>
            <w:tcW w:w="7134" w:type="dxa"/>
            <w:tcBorders>
              <w:top w:val="single" w:sz="4" w:space="0" w:color="000000"/>
              <w:left w:val="single" w:sz="4" w:space="0" w:color="000000"/>
              <w:bottom w:val="single" w:sz="4" w:space="0" w:color="000000"/>
              <w:right w:val="single" w:sz="4" w:space="0" w:color="000000"/>
            </w:tcBorders>
            <w:shd w:val="clear" w:color="auto" w:fill="BFBFBF"/>
          </w:tcPr>
          <w:p w14:paraId="4C7904C4" w14:textId="77777777" w:rsidR="00BC5F0F" w:rsidRPr="00BC5F0F" w:rsidRDefault="00BC5F0F" w:rsidP="00BC5F0F">
            <w:pPr>
              <w:suppressAutoHyphens w:val="0"/>
              <w:spacing w:after="0" w:line="259" w:lineRule="auto"/>
              <w:ind w:left="4"/>
              <w:rPr>
                <w:rFonts w:eastAsia="Calibri" w:cs="Calibri"/>
                <w:szCs w:val="22"/>
              </w:rPr>
            </w:pPr>
            <w:r w:rsidRPr="00BC5F0F">
              <w:rPr>
                <w:rFonts w:eastAsia="Calibri" w:cs="Calibri"/>
                <w:szCs w:val="22"/>
              </w:rPr>
              <w:t xml:space="preserve">Outcomes </w:t>
            </w:r>
          </w:p>
        </w:tc>
      </w:tr>
      <w:tr w:rsidR="007C0BF9" w:rsidRPr="00BC5F0F" w14:paraId="58FB6102" w14:textId="77777777" w:rsidTr="0034011A">
        <w:trPr>
          <w:trHeight w:val="1836"/>
        </w:trPr>
        <w:tc>
          <w:tcPr>
            <w:tcW w:w="1656" w:type="dxa"/>
            <w:tcBorders>
              <w:top w:val="single" w:sz="4" w:space="0" w:color="000000"/>
              <w:left w:val="single" w:sz="4" w:space="0" w:color="000000"/>
              <w:bottom w:val="single" w:sz="4" w:space="0" w:color="000000"/>
              <w:right w:val="single" w:sz="4" w:space="0" w:color="000000"/>
            </w:tcBorders>
          </w:tcPr>
          <w:p w14:paraId="1AC82835" w14:textId="77777777" w:rsidR="00BC5F0F" w:rsidRPr="00BC5F0F" w:rsidRDefault="00BC5F0F" w:rsidP="00BC5F0F">
            <w:pPr>
              <w:suppressAutoHyphens w:val="0"/>
              <w:spacing w:after="238" w:line="289" w:lineRule="auto"/>
              <w:ind w:left="3" w:right="6"/>
              <w:rPr>
                <w:rFonts w:eastAsia="Calibri" w:cs="Calibri"/>
                <w:szCs w:val="22"/>
              </w:rPr>
            </w:pPr>
            <w:r w:rsidRPr="00BC5F0F">
              <w:rPr>
                <w:rFonts w:eastAsia="Calibri" w:cs="Calibri"/>
                <w:szCs w:val="22"/>
              </w:rPr>
              <w:t xml:space="preserve">Decrease in number of behaviour </w:t>
            </w:r>
            <w:r w:rsidRPr="00BC5F0F">
              <w:rPr>
                <w:rFonts w:eastAsia="Calibri" w:cs="Calibri"/>
                <w:color w:val="000000"/>
                <w:szCs w:val="22"/>
              </w:rPr>
              <w:t>incidents.</w:t>
            </w:r>
            <w:r w:rsidRPr="00BC5F0F">
              <w:rPr>
                <w:rFonts w:eastAsia="Calibri" w:cs="Calibri"/>
                <w:szCs w:val="22"/>
              </w:rPr>
              <w:t xml:space="preserve"> </w:t>
            </w:r>
          </w:p>
          <w:p w14:paraId="0BBB416A" w14:textId="30F0959A" w:rsidR="00BC5F0F" w:rsidRPr="00BC5F0F" w:rsidRDefault="00BC5F0F" w:rsidP="00BC5F0F">
            <w:pPr>
              <w:suppressAutoHyphens w:val="0"/>
              <w:spacing w:after="0" w:line="259" w:lineRule="auto"/>
              <w:ind w:left="3"/>
              <w:rPr>
                <w:rFonts w:eastAsia="Calibri" w:cs="Calibri"/>
                <w:szCs w:val="22"/>
              </w:rPr>
            </w:pPr>
            <w:r w:rsidRPr="00BC5F0F">
              <w:rPr>
                <w:rFonts w:eastAsia="Calibri" w:cs="Calibri"/>
                <w:szCs w:val="22"/>
              </w:rPr>
              <w:t xml:space="preserve">Increase is </w:t>
            </w:r>
            <w:r w:rsidR="0034011A" w:rsidRPr="00BC5F0F">
              <w:rPr>
                <w:rFonts w:eastAsia="Calibri" w:cs="Calibri"/>
                <w:szCs w:val="22"/>
              </w:rPr>
              <w:t>self-regulation</w:t>
            </w:r>
            <w:r w:rsidRPr="00BC5F0F">
              <w:rPr>
                <w:rFonts w:eastAsia="Calibri" w:cs="Calibri"/>
                <w:szCs w:val="22"/>
              </w:rPr>
              <w:t xml:space="preserve"> </w:t>
            </w:r>
          </w:p>
        </w:tc>
        <w:tc>
          <w:tcPr>
            <w:tcW w:w="1735" w:type="dxa"/>
            <w:tcBorders>
              <w:top w:val="single" w:sz="4" w:space="0" w:color="000000"/>
              <w:left w:val="single" w:sz="4" w:space="0" w:color="000000"/>
              <w:bottom w:val="single" w:sz="4" w:space="0" w:color="000000"/>
              <w:right w:val="single" w:sz="4" w:space="0" w:color="000000"/>
            </w:tcBorders>
          </w:tcPr>
          <w:p w14:paraId="29C92FEA" w14:textId="77777777" w:rsidR="00BC5F0F" w:rsidRPr="00BC5F0F" w:rsidRDefault="00BC5F0F" w:rsidP="00BC5F0F">
            <w:pPr>
              <w:suppressAutoHyphens w:val="0"/>
              <w:spacing w:after="243"/>
              <w:ind w:left="4"/>
              <w:rPr>
                <w:rFonts w:eastAsia="Calibri" w:cs="Calibri"/>
                <w:szCs w:val="22"/>
              </w:rPr>
            </w:pPr>
            <w:r w:rsidRPr="00BC5F0F">
              <w:rPr>
                <w:rFonts w:eastAsia="Calibri" w:cs="Calibri"/>
                <w:szCs w:val="22"/>
              </w:rPr>
              <w:t xml:space="preserve">Staff and pupils have better knowledge of support and strategies in the understanding of their own emotional needs. </w:t>
            </w:r>
          </w:p>
          <w:p w14:paraId="263FE486" w14:textId="77777777" w:rsidR="00BC5F0F" w:rsidRPr="00BC5F0F" w:rsidRDefault="00BC5F0F" w:rsidP="00BC5F0F">
            <w:pPr>
              <w:suppressAutoHyphens w:val="0"/>
              <w:spacing w:after="0" w:line="259" w:lineRule="auto"/>
              <w:ind w:left="4"/>
              <w:rPr>
                <w:rFonts w:eastAsia="Calibri" w:cs="Calibri"/>
                <w:szCs w:val="22"/>
              </w:rPr>
            </w:pPr>
            <w:r w:rsidRPr="00BC5F0F">
              <w:rPr>
                <w:rFonts w:eastAsia="Calibri" w:cs="Calibri"/>
                <w:szCs w:val="22"/>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7C2EAB36" w14:textId="77777777" w:rsidR="00BC5F0F" w:rsidRPr="00BC5F0F" w:rsidRDefault="00BC5F0F" w:rsidP="00BC5F0F">
            <w:pPr>
              <w:suppressAutoHyphens w:val="0"/>
              <w:spacing w:after="236" w:line="291" w:lineRule="auto"/>
              <w:ind w:left="4"/>
              <w:rPr>
                <w:rFonts w:eastAsia="Calibri" w:cs="Calibri"/>
                <w:szCs w:val="22"/>
              </w:rPr>
            </w:pPr>
            <w:r w:rsidRPr="00BC5F0F">
              <w:rPr>
                <w:rFonts w:eastAsia="Calibri" w:cs="Calibri"/>
                <w:color w:val="000000"/>
                <w:szCs w:val="22"/>
              </w:rPr>
              <w:t xml:space="preserve">Evidence including pupil voice and parent surveys shows a decrease in the number of incidents of low-level disruptive behaviour. </w:t>
            </w:r>
          </w:p>
          <w:p w14:paraId="256B4236" w14:textId="77777777" w:rsidR="00BC5F0F" w:rsidRPr="00BC5F0F" w:rsidRDefault="00BC5F0F" w:rsidP="00BC5F0F">
            <w:pPr>
              <w:suppressAutoHyphens w:val="0"/>
              <w:spacing w:after="274" w:line="259" w:lineRule="auto"/>
              <w:ind w:left="4"/>
              <w:rPr>
                <w:rFonts w:eastAsia="Calibri" w:cs="Calibri"/>
                <w:szCs w:val="22"/>
              </w:rPr>
            </w:pPr>
            <w:r w:rsidRPr="00BC5F0F">
              <w:rPr>
                <w:rFonts w:eastAsia="Calibri" w:cs="Calibri"/>
                <w:szCs w:val="22"/>
              </w:rPr>
              <w:t xml:space="preserve">Sustained improvements in well-being. </w:t>
            </w:r>
          </w:p>
          <w:p w14:paraId="1ED7D461" w14:textId="77777777" w:rsidR="00BC5F0F" w:rsidRPr="00BC5F0F" w:rsidRDefault="00BC5F0F" w:rsidP="00BC5F0F">
            <w:pPr>
              <w:suppressAutoHyphens w:val="0"/>
              <w:spacing w:after="0" w:line="259" w:lineRule="auto"/>
              <w:ind w:left="4"/>
              <w:rPr>
                <w:rFonts w:eastAsia="Calibri" w:cs="Calibri"/>
                <w:szCs w:val="22"/>
              </w:rPr>
            </w:pPr>
            <w:r w:rsidRPr="00BC5F0F">
              <w:rPr>
                <w:rFonts w:eastAsia="Calibri" w:cs="Calibri"/>
                <w:szCs w:val="22"/>
              </w:rPr>
              <w:t xml:space="preserve">Reduction in behaviour incidents involving disadvantaged children. </w:t>
            </w:r>
          </w:p>
        </w:tc>
      </w:tr>
      <w:tr w:rsidR="007C0BF9" w:rsidRPr="00BC5F0F" w14:paraId="1909E71A" w14:textId="77777777" w:rsidTr="0034011A">
        <w:trPr>
          <w:trHeight w:val="3275"/>
        </w:trPr>
        <w:tc>
          <w:tcPr>
            <w:tcW w:w="1656" w:type="dxa"/>
            <w:tcBorders>
              <w:top w:val="single" w:sz="4" w:space="0" w:color="000000"/>
              <w:left w:val="single" w:sz="4" w:space="0" w:color="000000"/>
              <w:bottom w:val="single" w:sz="4" w:space="0" w:color="000000"/>
              <w:right w:val="single" w:sz="4" w:space="0" w:color="000000"/>
            </w:tcBorders>
          </w:tcPr>
          <w:p w14:paraId="3EC5666A" w14:textId="77777777" w:rsidR="00BC5F0F" w:rsidRPr="00BC5F0F" w:rsidRDefault="00BC5F0F" w:rsidP="00BC5F0F">
            <w:pPr>
              <w:suppressAutoHyphens w:val="0"/>
              <w:spacing w:after="0" w:line="259" w:lineRule="auto"/>
              <w:ind w:left="3" w:right="31"/>
              <w:rPr>
                <w:rFonts w:eastAsia="Calibri" w:cs="Calibri"/>
                <w:szCs w:val="22"/>
              </w:rPr>
            </w:pPr>
            <w:r w:rsidRPr="00BC5F0F">
              <w:rPr>
                <w:rFonts w:eastAsia="Calibri" w:cs="Calibri"/>
                <w:szCs w:val="22"/>
              </w:rPr>
              <w:t xml:space="preserve">Development of age-appropriate vocabulary and early language skills among disadvantaged pupils </w:t>
            </w:r>
          </w:p>
        </w:tc>
        <w:tc>
          <w:tcPr>
            <w:tcW w:w="1735" w:type="dxa"/>
            <w:tcBorders>
              <w:top w:val="single" w:sz="4" w:space="0" w:color="000000"/>
              <w:left w:val="single" w:sz="4" w:space="0" w:color="000000"/>
              <w:bottom w:val="single" w:sz="4" w:space="0" w:color="000000"/>
              <w:right w:val="single" w:sz="4" w:space="0" w:color="000000"/>
            </w:tcBorders>
          </w:tcPr>
          <w:p w14:paraId="35F6BE6F" w14:textId="77777777" w:rsidR="00BC5F0F" w:rsidRPr="00BC5F0F" w:rsidRDefault="00BC5F0F" w:rsidP="00BC5F0F">
            <w:pPr>
              <w:suppressAutoHyphens w:val="0"/>
              <w:spacing w:after="0" w:line="259" w:lineRule="auto"/>
              <w:ind w:left="4" w:right="46"/>
              <w:rPr>
                <w:rFonts w:eastAsia="Calibri" w:cs="Calibri"/>
                <w:szCs w:val="22"/>
              </w:rPr>
            </w:pPr>
            <w:r w:rsidRPr="00BC5F0F">
              <w:rPr>
                <w:rFonts w:eastAsia="Calibri" w:cs="Calibri"/>
                <w:szCs w:val="22"/>
              </w:rPr>
              <w:t xml:space="preserve">The ability to communicate clearly at an early level. Pupils express their feelings using full sentences with support from their teacher. </w:t>
            </w:r>
          </w:p>
        </w:tc>
        <w:tc>
          <w:tcPr>
            <w:tcW w:w="7134" w:type="dxa"/>
            <w:tcBorders>
              <w:top w:val="single" w:sz="4" w:space="0" w:color="000000"/>
              <w:left w:val="single" w:sz="4" w:space="0" w:color="000000"/>
              <w:bottom w:val="single" w:sz="4" w:space="0" w:color="000000"/>
              <w:right w:val="single" w:sz="4" w:space="0" w:color="000000"/>
            </w:tcBorders>
          </w:tcPr>
          <w:p w14:paraId="55F47E91" w14:textId="15B2D2F9" w:rsidR="00BC5F0F" w:rsidRDefault="00BC5F0F" w:rsidP="00BC5F0F">
            <w:pPr>
              <w:suppressAutoHyphens w:val="0"/>
              <w:spacing w:after="226" w:line="287" w:lineRule="auto"/>
              <w:ind w:left="4"/>
              <w:jc w:val="both"/>
              <w:rPr>
                <w:rFonts w:eastAsia="Calibri" w:cs="Calibri"/>
                <w:color w:val="000000"/>
                <w:szCs w:val="22"/>
              </w:rPr>
            </w:pPr>
            <w:r w:rsidRPr="00BC5F0F">
              <w:rPr>
                <w:rFonts w:eastAsia="Calibri" w:cs="Calibri"/>
                <w:color w:val="000000"/>
                <w:szCs w:val="22"/>
              </w:rPr>
              <w:t>75%</w:t>
            </w:r>
            <w:r w:rsidR="00967481">
              <w:rPr>
                <w:rFonts w:eastAsia="Calibri" w:cs="Calibri"/>
                <w:color w:val="000000"/>
                <w:szCs w:val="22"/>
              </w:rPr>
              <w:t xml:space="preserve"> (3 out of 4 children)</w:t>
            </w:r>
            <w:r w:rsidRPr="00BC5F0F">
              <w:rPr>
                <w:rFonts w:eastAsia="Calibri" w:cs="Calibri"/>
                <w:color w:val="000000"/>
                <w:szCs w:val="22"/>
              </w:rPr>
              <w:t xml:space="preserve"> (above national) of Pupil Premium children in EYFS achieved 2 in Communication &amp; Language (July 24). </w:t>
            </w:r>
          </w:p>
          <w:p w14:paraId="03672C51" w14:textId="1430EFAB" w:rsidR="00C310A9" w:rsidRDefault="007C0BF9" w:rsidP="00BC5F0F">
            <w:pPr>
              <w:suppressAutoHyphens w:val="0"/>
              <w:spacing w:after="226" w:line="287" w:lineRule="auto"/>
              <w:ind w:left="4"/>
              <w:jc w:val="both"/>
              <w:rPr>
                <w:rFonts w:eastAsia="Calibri" w:cs="Calibri"/>
                <w:color w:val="000000"/>
                <w:szCs w:val="22"/>
              </w:rPr>
            </w:pPr>
            <w:r w:rsidRPr="007C0BF9">
              <w:rPr>
                <w:rFonts w:eastAsia="Calibri" w:cs="Calibri"/>
                <w:noProof/>
                <w:szCs w:val="22"/>
              </w:rPr>
              <w:drawing>
                <wp:anchor distT="0" distB="0" distL="114300" distR="114300" simplePos="0" relativeHeight="251658240" behindDoc="0" locked="0" layoutInCell="1" allowOverlap="1" wp14:anchorId="59FACFDB" wp14:editId="5B392B11">
                  <wp:simplePos x="0" y="0"/>
                  <wp:positionH relativeFrom="column">
                    <wp:posOffset>544830</wp:posOffset>
                  </wp:positionH>
                  <wp:positionV relativeFrom="paragraph">
                    <wp:posOffset>428625</wp:posOffset>
                  </wp:positionV>
                  <wp:extent cx="3563620" cy="459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63620" cy="459105"/>
                          </a:xfrm>
                          <a:prstGeom prst="rect">
                            <a:avLst/>
                          </a:prstGeom>
                        </pic:spPr>
                      </pic:pic>
                    </a:graphicData>
                  </a:graphic>
                  <wp14:sizeRelH relativeFrom="margin">
                    <wp14:pctWidth>0</wp14:pctWidth>
                  </wp14:sizeRelH>
                  <wp14:sizeRelV relativeFrom="margin">
                    <wp14:pctHeight>0</wp14:pctHeight>
                  </wp14:sizeRelV>
                </wp:anchor>
              </w:drawing>
            </w:r>
            <w:r w:rsidR="00C310A9">
              <w:rPr>
                <w:rFonts w:eastAsia="Calibri" w:cs="Calibri"/>
                <w:color w:val="000000"/>
                <w:szCs w:val="22"/>
              </w:rPr>
              <w:t xml:space="preserve">July 25 </w:t>
            </w:r>
            <w:proofErr w:type="gramStart"/>
            <w:r w:rsidR="00C310A9">
              <w:rPr>
                <w:rFonts w:eastAsia="Calibri" w:cs="Calibri"/>
                <w:color w:val="000000"/>
                <w:szCs w:val="22"/>
              </w:rPr>
              <w:t>showed</w:t>
            </w:r>
            <w:r w:rsidR="00980862">
              <w:rPr>
                <w:rFonts w:eastAsia="Calibri" w:cs="Calibri"/>
                <w:color w:val="000000"/>
                <w:szCs w:val="22"/>
              </w:rPr>
              <w:t xml:space="preserve"> </w:t>
            </w:r>
            <w:r w:rsidR="00C310A9">
              <w:rPr>
                <w:rFonts w:eastAsia="Calibri" w:cs="Calibri"/>
                <w:color w:val="000000"/>
                <w:szCs w:val="22"/>
              </w:rPr>
              <w:t xml:space="preserve"> </w:t>
            </w:r>
            <w:r w:rsidR="00967481">
              <w:rPr>
                <w:rFonts w:eastAsia="Calibri" w:cs="Calibri"/>
                <w:color w:val="000000"/>
                <w:szCs w:val="22"/>
              </w:rPr>
              <w:t>60</w:t>
            </w:r>
            <w:proofErr w:type="gramEnd"/>
            <w:r w:rsidR="00967481">
              <w:rPr>
                <w:rFonts w:eastAsia="Calibri" w:cs="Calibri"/>
                <w:color w:val="000000"/>
                <w:szCs w:val="22"/>
              </w:rPr>
              <w:t>%</w:t>
            </w:r>
            <w:r w:rsidR="00B877CA">
              <w:rPr>
                <w:rFonts w:eastAsia="Calibri" w:cs="Calibri"/>
                <w:color w:val="000000"/>
                <w:szCs w:val="22"/>
              </w:rPr>
              <w:t xml:space="preserve">  </w:t>
            </w:r>
            <w:r w:rsidR="00E10E6A">
              <w:rPr>
                <w:rFonts w:eastAsia="Calibri" w:cs="Calibri"/>
                <w:color w:val="000000"/>
                <w:szCs w:val="22"/>
              </w:rPr>
              <w:t>(</w:t>
            </w:r>
            <w:r w:rsidR="00B877CA">
              <w:rPr>
                <w:rFonts w:eastAsia="Calibri" w:cs="Calibri"/>
                <w:color w:val="000000"/>
                <w:szCs w:val="22"/>
              </w:rPr>
              <w:t>9 out of 15 children</w:t>
            </w:r>
            <w:r w:rsidR="00E10E6A">
              <w:rPr>
                <w:rFonts w:eastAsia="Calibri" w:cs="Calibri"/>
                <w:color w:val="000000"/>
                <w:szCs w:val="22"/>
              </w:rPr>
              <w:t>)</w:t>
            </w:r>
            <w:r w:rsidR="00B877CA">
              <w:rPr>
                <w:rFonts w:eastAsia="Calibri" w:cs="Calibri"/>
                <w:color w:val="000000"/>
                <w:szCs w:val="22"/>
              </w:rPr>
              <w:t xml:space="preserve"> of</w:t>
            </w:r>
            <w:r w:rsidR="00967481">
              <w:rPr>
                <w:rFonts w:eastAsia="Calibri" w:cs="Calibri"/>
                <w:color w:val="000000"/>
                <w:szCs w:val="22"/>
              </w:rPr>
              <w:t xml:space="preserve"> </w:t>
            </w:r>
            <w:r w:rsidR="00C310A9">
              <w:rPr>
                <w:rFonts w:eastAsia="Calibri" w:cs="Calibri"/>
                <w:color w:val="000000"/>
                <w:szCs w:val="22"/>
              </w:rPr>
              <w:t>Pupil Premium children in EYFS achieved</w:t>
            </w:r>
            <w:r w:rsidR="003222B1">
              <w:rPr>
                <w:rFonts w:eastAsia="Calibri" w:cs="Calibri"/>
                <w:color w:val="000000"/>
                <w:szCs w:val="22"/>
              </w:rPr>
              <w:t xml:space="preserve"> 2 </w:t>
            </w:r>
            <w:r w:rsidR="00980862">
              <w:rPr>
                <w:rFonts w:eastAsia="Calibri" w:cs="Calibri"/>
                <w:color w:val="000000"/>
                <w:szCs w:val="22"/>
              </w:rPr>
              <w:t>in Communication and language</w:t>
            </w:r>
            <w:r w:rsidR="00CE61E3">
              <w:rPr>
                <w:rFonts w:eastAsia="Calibri" w:cs="Calibri"/>
                <w:color w:val="000000"/>
                <w:szCs w:val="22"/>
              </w:rPr>
              <w:t>.</w:t>
            </w:r>
            <w:r w:rsidR="00980862">
              <w:rPr>
                <w:rFonts w:eastAsia="Calibri" w:cs="Calibri"/>
                <w:color w:val="000000"/>
                <w:szCs w:val="22"/>
              </w:rPr>
              <w:t xml:space="preserve"> </w:t>
            </w:r>
          </w:p>
          <w:p w14:paraId="7703FC20" w14:textId="0CE37F88" w:rsidR="007C0BF9" w:rsidRPr="00BC5F0F" w:rsidRDefault="007C0BF9" w:rsidP="00BC5F0F">
            <w:pPr>
              <w:suppressAutoHyphens w:val="0"/>
              <w:spacing w:after="226" w:line="287" w:lineRule="auto"/>
              <w:ind w:left="4"/>
              <w:jc w:val="both"/>
              <w:rPr>
                <w:rFonts w:eastAsia="Calibri" w:cs="Calibri"/>
                <w:szCs w:val="22"/>
              </w:rPr>
            </w:pPr>
          </w:p>
          <w:p w14:paraId="0D9EB598" w14:textId="23E08AA8" w:rsidR="0027523D" w:rsidRPr="0027523D" w:rsidRDefault="0027523D" w:rsidP="0027523D">
            <w:pPr>
              <w:suppressAutoHyphens w:val="0"/>
              <w:spacing w:after="239" w:line="289" w:lineRule="auto"/>
              <w:rPr>
                <w:rFonts w:eastAsia="Calibri" w:cs="Calibri"/>
                <w:szCs w:val="22"/>
              </w:rPr>
            </w:pPr>
            <w:r w:rsidRPr="0027523D">
              <w:rPr>
                <w:rFonts w:eastAsia="Calibri" w:cs="Calibri"/>
                <w:szCs w:val="22"/>
              </w:rPr>
              <w:t xml:space="preserve">Within the setting each class has a calming and well-being space, where children can access independently or with adult support where necessary.  Visual timetable to support </w:t>
            </w:r>
            <w:proofErr w:type="spellStart"/>
            <w:r w:rsidR="00C310A9" w:rsidRPr="0027523D">
              <w:rPr>
                <w:rFonts w:eastAsia="Calibri" w:cs="Calibri"/>
                <w:szCs w:val="22"/>
              </w:rPr>
              <w:t>self regulation</w:t>
            </w:r>
            <w:proofErr w:type="spellEnd"/>
            <w:r w:rsidRPr="0027523D">
              <w:rPr>
                <w:rFonts w:eastAsia="Calibri" w:cs="Calibri"/>
                <w:szCs w:val="22"/>
              </w:rPr>
              <w:t xml:space="preserve"> and routines. On entry calming music and breathing techniques are modelled by the adults to encourage the children to be ready for learning. </w:t>
            </w:r>
          </w:p>
          <w:p w14:paraId="1FA85D24" w14:textId="77777777" w:rsidR="00BC5F0F" w:rsidRPr="00BC5F0F" w:rsidRDefault="00BC5F0F" w:rsidP="00BC5F0F">
            <w:pPr>
              <w:suppressAutoHyphens w:val="0"/>
              <w:spacing w:after="0" w:line="259" w:lineRule="auto"/>
              <w:ind w:right="1483"/>
              <w:jc w:val="right"/>
              <w:rPr>
                <w:rFonts w:eastAsia="Calibri" w:cs="Calibri"/>
                <w:szCs w:val="22"/>
              </w:rPr>
            </w:pPr>
            <w:r w:rsidRPr="00BC5F0F">
              <w:rPr>
                <w:rFonts w:eastAsia="Calibri" w:cs="Calibri"/>
                <w:noProof/>
                <w:szCs w:val="22"/>
              </w:rPr>
              <w:drawing>
                <wp:inline distT="0" distB="0" distL="0" distR="0" wp14:anchorId="2BF38CB0" wp14:editId="41BD54DF">
                  <wp:extent cx="3479972" cy="1459865"/>
                  <wp:effectExtent l="0" t="0" r="6350" b="6985"/>
                  <wp:docPr id="2042" name="Picture 2042"/>
                  <wp:cNvGraphicFramePr/>
                  <a:graphic xmlns:a="http://schemas.openxmlformats.org/drawingml/2006/main">
                    <a:graphicData uri="http://schemas.openxmlformats.org/drawingml/2006/picture">
                      <pic:pic xmlns:pic="http://schemas.openxmlformats.org/drawingml/2006/picture">
                        <pic:nvPicPr>
                          <pic:cNvPr id="2042" name="Picture 2042"/>
                          <pic:cNvPicPr/>
                        </pic:nvPicPr>
                        <pic:blipFill>
                          <a:blip r:embed="rId19"/>
                          <a:stretch>
                            <a:fillRect/>
                          </a:stretch>
                        </pic:blipFill>
                        <pic:spPr>
                          <a:xfrm>
                            <a:off x="0" y="0"/>
                            <a:ext cx="3493942" cy="1465725"/>
                          </a:xfrm>
                          <a:prstGeom prst="rect">
                            <a:avLst/>
                          </a:prstGeom>
                        </pic:spPr>
                      </pic:pic>
                    </a:graphicData>
                  </a:graphic>
                </wp:inline>
              </w:drawing>
            </w:r>
            <w:r w:rsidRPr="00BC5F0F">
              <w:rPr>
                <w:rFonts w:eastAsia="Arial" w:cs="Arial"/>
                <w:szCs w:val="22"/>
              </w:rPr>
              <w:t xml:space="preserve"> </w:t>
            </w:r>
          </w:p>
        </w:tc>
      </w:tr>
    </w:tbl>
    <w:tbl>
      <w:tblPr>
        <w:tblStyle w:val="TableGrid1"/>
        <w:tblW w:w="10660" w:type="dxa"/>
        <w:tblInd w:w="5" w:type="dxa"/>
        <w:tblCellMar>
          <w:top w:w="55" w:type="dxa"/>
          <w:left w:w="110" w:type="dxa"/>
          <w:right w:w="64" w:type="dxa"/>
        </w:tblCellMar>
        <w:tblLook w:val="04A0" w:firstRow="1" w:lastRow="0" w:firstColumn="1" w:lastColumn="0" w:noHBand="0" w:noVBand="1"/>
      </w:tblPr>
      <w:tblGrid>
        <w:gridCol w:w="1124"/>
        <w:gridCol w:w="968"/>
        <w:gridCol w:w="8568"/>
      </w:tblGrid>
      <w:tr w:rsidR="00A95EF9" w:rsidRPr="0027523D" w14:paraId="636F5467" w14:textId="77777777" w:rsidTr="7235C2A4">
        <w:trPr>
          <w:trHeight w:val="3054"/>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39769" w14:textId="77777777" w:rsidR="0027523D" w:rsidRPr="0027523D" w:rsidRDefault="0027523D" w:rsidP="0027523D">
            <w:pPr>
              <w:pBdr>
                <w:top w:val="single" w:sz="4" w:space="0" w:color="000000"/>
                <w:left w:val="single" w:sz="4" w:space="0" w:color="000000"/>
                <w:bottom w:val="single" w:sz="4" w:space="0" w:color="000000"/>
                <w:right w:val="single" w:sz="4" w:space="0" w:color="000000"/>
              </w:pBdr>
              <w:suppressAutoHyphens w:val="0"/>
              <w:spacing w:after="160" w:line="259" w:lineRule="auto"/>
              <w:rPr>
                <w:rFonts w:eastAsia="Calibri" w:cs="Calibri"/>
                <w:szCs w:val="22"/>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4521C" w14:textId="77777777" w:rsidR="0027523D" w:rsidRPr="0027523D" w:rsidRDefault="0027523D" w:rsidP="0027523D">
            <w:pPr>
              <w:pBdr>
                <w:top w:val="single" w:sz="4" w:space="0" w:color="000000"/>
                <w:left w:val="single" w:sz="4" w:space="0" w:color="000000"/>
                <w:bottom w:val="single" w:sz="4" w:space="0" w:color="000000"/>
                <w:right w:val="single" w:sz="4" w:space="0" w:color="000000"/>
              </w:pBdr>
              <w:suppressAutoHyphens w:val="0"/>
              <w:spacing w:after="160" w:line="259" w:lineRule="auto"/>
              <w:rPr>
                <w:rFonts w:eastAsia="Calibri" w:cs="Calibri"/>
                <w:szCs w:val="22"/>
              </w:rPr>
            </w:pPr>
          </w:p>
        </w:tc>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E3C7" w14:textId="77777777" w:rsidR="0027523D" w:rsidRPr="0027523D" w:rsidRDefault="0027523D" w:rsidP="0027523D">
            <w:pPr>
              <w:suppressAutoHyphens w:val="0"/>
              <w:spacing w:after="0" w:line="289" w:lineRule="auto"/>
              <w:rPr>
                <w:rFonts w:eastAsia="Calibri" w:cs="Calibri"/>
                <w:szCs w:val="22"/>
              </w:rPr>
            </w:pPr>
            <w:r w:rsidRPr="0027523D">
              <w:rPr>
                <w:rFonts w:eastAsia="Calibri" w:cs="Calibri"/>
                <w:szCs w:val="22"/>
              </w:rPr>
              <w:t xml:space="preserve">Within the setting adults focus on interacting and modelling language and new vocabulary introduced through story, rhymes, and imaginative play.  Language and vocabulary are extended and repeated to embed understanding and use. In addition, where needed </w:t>
            </w:r>
          </w:p>
          <w:p w14:paraId="6A4B3CFB" w14:textId="77777777" w:rsidR="0027523D" w:rsidRPr="0027523D" w:rsidRDefault="0027523D" w:rsidP="0027523D">
            <w:pPr>
              <w:suppressAutoHyphens w:val="0"/>
              <w:spacing w:after="0" w:line="259" w:lineRule="auto"/>
              <w:rPr>
                <w:rFonts w:eastAsia="Calibri" w:cs="Calibri"/>
                <w:szCs w:val="22"/>
              </w:rPr>
            </w:pPr>
            <w:r w:rsidRPr="0027523D">
              <w:rPr>
                <w:rFonts w:eastAsia="Calibri" w:cs="Calibri"/>
                <w:szCs w:val="22"/>
              </w:rPr>
              <w:t>Communication Boards and ‘Now and Next’ also support reach the development of age-related language skills among disadvantaged pupils.  Staff have high expectations for all children.</w:t>
            </w:r>
            <w:r w:rsidRPr="0027523D">
              <w:rPr>
                <w:rFonts w:eastAsia="Calibri" w:cs="Calibri"/>
                <w:color w:val="000000"/>
                <w:szCs w:val="22"/>
              </w:rPr>
              <w:t xml:space="preserve">  </w:t>
            </w:r>
          </w:p>
        </w:tc>
      </w:tr>
      <w:tr w:rsidR="00A95EF9" w:rsidRPr="0027523D" w14:paraId="07A49E35" w14:textId="77777777" w:rsidTr="7235C2A4">
        <w:trPr>
          <w:trHeight w:val="2557"/>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F0D9" w14:textId="5CC09608" w:rsidR="0027523D" w:rsidRPr="0027523D" w:rsidRDefault="0027523D" w:rsidP="0027523D">
            <w:pPr>
              <w:suppressAutoHyphens w:val="0"/>
              <w:spacing w:after="0" w:line="259" w:lineRule="auto"/>
              <w:rPr>
                <w:rFonts w:eastAsia="Calibri" w:cs="Calibri"/>
                <w:szCs w:val="22"/>
              </w:rPr>
            </w:pPr>
            <w:r w:rsidRPr="0027523D">
              <w:rPr>
                <w:rFonts w:eastAsia="Calibri" w:cs="Calibri"/>
                <w:szCs w:val="22"/>
              </w:rPr>
              <w:t>Improved reading attainment for disadvantaged pupil. Narrow the gap between pupil premium and non</w:t>
            </w:r>
            <w:r w:rsidR="000D7CDF">
              <w:rPr>
                <w:rFonts w:eastAsia="Calibri" w:cs="Calibri"/>
                <w:szCs w:val="22"/>
              </w:rPr>
              <w:t>-</w:t>
            </w:r>
            <w:r w:rsidRPr="0027523D">
              <w:rPr>
                <w:rFonts w:eastAsia="Calibri" w:cs="Calibri"/>
                <w:szCs w:val="22"/>
              </w:rPr>
              <w:t xml:space="preserve">pupil premium pupils </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59139" w14:textId="77777777" w:rsidR="0027523D" w:rsidRPr="0027523D" w:rsidRDefault="0027523D" w:rsidP="0027523D">
            <w:pPr>
              <w:suppressAutoHyphens w:val="0"/>
              <w:spacing w:after="0" w:line="259" w:lineRule="auto"/>
              <w:rPr>
                <w:rFonts w:eastAsia="Calibri" w:cs="Calibri"/>
                <w:szCs w:val="22"/>
              </w:rPr>
            </w:pPr>
            <w:r w:rsidRPr="0027523D">
              <w:rPr>
                <w:rFonts w:eastAsia="Calibri" w:cs="Calibri"/>
                <w:szCs w:val="22"/>
              </w:rPr>
              <w:t xml:space="preserve">Pupil Premium data for KS1 and KS2 reading data will show comparably to that of non-pupil premium pupils and individual the gaps will have narrowed.  </w:t>
            </w:r>
          </w:p>
        </w:tc>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D30D" w14:textId="03D46823" w:rsidR="0027523D" w:rsidRDefault="000D7CDF" w:rsidP="0027523D">
            <w:pPr>
              <w:suppressAutoHyphens w:val="0"/>
              <w:spacing w:after="0" w:line="259" w:lineRule="auto"/>
              <w:rPr>
                <w:rFonts w:eastAsia="Calibri" w:cs="Calibri"/>
                <w:color w:val="000000"/>
                <w:szCs w:val="22"/>
              </w:rPr>
            </w:pPr>
            <w:r w:rsidRPr="0027523D">
              <w:rPr>
                <w:rFonts w:eastAsia="Calibri" w:cs="Calibri"/>
                <w:noProof/>
                <w:szCs w:val="22"/>
              </w:rPr>
              <w:drawing>
                <wp:anchor distT="0" distB="0" distL="114300" distR="114300" simplePos="0" relativeHeight="251659264" behindDoc="0" locked="0" layoutInCell="1" allowOverlap="1" wp14:anchorId="5DFD23DF" wp14:editId="1618F4BD">
                  <wp:simplePos x="0" y="0"/>
                  <wp:positionH relativeFrom="column">
                    <wp:posOffset>100965</wp:posOffset>
                  </wp:positionH>
                  <wp:positionV relativeFrom="paragraph">
                    <wp:posOffset>704850</wp:posOffset>
                  </wp:positionV>
                  <wp:extent cx="4036060" cy="2938145"/>
                  <wp:effectExtent l="0" t="0" r="2540" b="0"/>
                  <wp:wrapSquare wrapText="bothSides"/>
                  <wp:docPr id="2167" name="Picture 2167"/>
                  <wp:cNvGraphicFramePr/>
                  <a:graphic xmlns:a="http://schemas.openxmlformats.org/drawingml/2006/main">
                    <a:graphicData uri="http://schemas.openxmlformats.org/drawingml/2006/picture">
                      <pic:pic xmlns:pic="http://schemas.openxmlformats.org/drawingml/2006/picture">
                        <pic:nvPicPr>
                          <pic:cNvPr id="2167" name="Picture 2167"/>
                          <pic:cNvPicPr/>
                        </pic:nvPicPr>
                        <pic:blipFill>
                          <a:blip r:embed="rId20">
                            <a:extLst>
                              <a:ext uri="{28A0092B-C50C-407E-A947-70E740481C1C}">
                                <a14:useLocalDpi xmlns:a14="http://schemas.microsoft.com/office/drawing/2010/main" val="0"/>
                              </a:ext>
                            </a:extLst>
                          </a:blip>
                          <a:stretch>
                            <a:fillRect/>
                          </a:stretch>
                        </pic:blipFill>
                        <pic:spPr>
                          <a:xfrm>
                            <a:off x="0" y="0"/>
                            <a:ext cx="4036060" cy="2938145"/>
                          </a:xfrm>
                          <a:prstGeom prst="rect">
                            <a:avLst/>
                          </a:prstGeom>
                        </pic:spPr>
                      </pic:pic>
                    </a:graphicData>
                  </a:graphic>
                  <wp14:sizeRelH relativeFrom="margin">
                    <wp14:pctWidth>0</wp14:pctWidth>
                  </wp14:sizeRelH>
                  <wp14:sizeRelV relativeFrom="margin">
                    <wp14:pctHeight>0</wp14:pctHeight>
                  </wp14:sizeRelV>
                </wp:anchor>
              </w:drawing>
            </w:r>
            <w:r w:rsidR="0027523D" w:rsidRPr="0027523D">
              <w:rPr>
                <w:rFonts w:eastAsia="Calibri" w:cs="Calibri"/>
                <w:szCs w:val="22"/>
              </w:rPr>
              <w:t xml:space="preserve">Improved reading attainment: </w:t>
            </w:r>
            <w:r w:rsidR="0027523D" w:rsidRPr="0027523D">
              <w:rPr>
                <w:rFonts w:eastAsia="Calibri" w:cs="Calibri"/>
                <w:color w:val="000000"/>
                <w:szCs w:val="22"/>
              </w:rPr>
              <w:t xml:space="preserve">Our latest assessment data (Summer 2024) shows that the Pupil Premium (PP) gap for Reading narrowed for the children.  </w:t>
            </w:r>
          </w:p>
          <w:p w14:paraId="09A00909" w14:textId="242A01FA" w:rsidR="000D7CDF" w:rsidRDefault="000D7CDF" w:rsidP="0027523D">
            <w:pPr>
              <w:suppressAutoHyphens w:val="0"/>
              <w:spacing w:after="0" w:line="259" w:lineRule="auto"/>
              <w:rPr>
                <w:rFonts w:eastAsia="Calibri" w:cs="Calibri"/>
                <w:szCs w:val="22"/>
              </w:rPr>
            </w:pPr>
          </w:p>
          <w:p w14:paraId="73ADC328" w14:textId="20586993" w:rsidR="000D7CDF" w:rsidRDefault="000D7CDF" w:rsidP="0027523D">
            <w:pPr>
              <w:suppressAutoHyphens w:val="0"/>
              <w:spacing w:after="0" w:line="259" w:lineRule="auto"/>
              <w:rPr>
                <w:rFonts w:eastAsia="Calibri" w:cs="Calibri"/>
                <w:szCs w:val="22"/>
              </w:rPr>
            </w:pPr>
          </w:p>
          <w:p w14:paraId="5AB01F30" w14:textId="77777777" w:rsidR="00A71C1C" w:rsidRDefault="00A71C1C" w:rsidP="0027523D">
            <w:pPr>
              <w:suppressAutoHyphens w:val="0"/>
              <w:spacing w:after="0" w:line="259" w:lineRule="auto"/>
              <w:rPr>
                <w:rFonts w:eastAsia="Calibri" w:cs="Calibri"/>
                <w:szCs w:val="22"/>
              </w:rPr>
            </w:pPr>
          </w:p>
          <w:p w14:paraId="4655352A" w14:textId="77777777" w:rsidR="00A71C1C" w:rsidRDefault="00A71C1C" w:rsidP="0027523D">
            <w:pPr>
              <w:suppressAutoHyphens w:val="0"/>
              <w:spacing w:after="0" w:line="259" w:lineRule="auto"/>
              <w:rPr>
                <w:rFonts w:eastAsia="Calibri" w:cs="Calibri"/>
                <w:szCs w:val="22"/>
              </w:rPr>
            </w:pPr>
          </w:p>
          <w:p w14:paraId="74CCBBC7" w14:textId="77777777" w:rsidR="00A71C1C" w:rsidRDefault="00A71C1C" w:rsidP="0027523D">
            <w:pPr>
              <w:suppressAutoHyphens w:val="0"/>
              <w:spacing w:after="0" w:line="259" w:lineRule="auto"/>
              <w:rPr>
                <w:rFonts w:eastAsia="Calibri" w:cs="Calibri"/>
                <w:szCs w:val="22"/>
              </w:rPr>
            </w:pPr>
          </w:p>
          <w:p w14:paraId="31E1F6C1" w14:textId="77777777" w:rsidR="00A71C1C" w:rsidRDefault="00A71C1C" w:rsidP="0027523D">
            <w:pPr>
              <w:suppressAutoHyphens w:val="0"/>
              <w:spacing w:after="0" w:line="259" w:lineRule="auto"/>
              <w:rPr>
                <w:rFonts w:eastAsia="Calibri" w:cs="Calibri"/>
                <w:szCs w:val="22"/>
              </w:rPr>
            </w:pPr>
          </w:p>
          <w:p w14:paraId="30E6B8DF" w14:textId="77777777" w:rsidR="00A71C1C" w:rsidRDefault="00A71C1C" w:rsidP="0027523D">
            <w:pPr>
              <w:suppressAutoHyphens w:val="0"/>
              <w:spacing w:after="0" w:line="259" w:lineRule="auto"/>
              <w:rPr>
                <w:rFonts w:eastAsia="Calibri" w:cs="Calibri"/>
                <w:szCs w:val="22"/>
              </w:rPr>
            </w:pPr>
          </w:p>
          <w:p w14:paraId="57781DE4" w14:textId="77777777" w:rsidR="00A71C1C" w:rsidRDefault="00A71C1C" w:rsidP="0027523D">
            <w:pPr>
              <w:suppressAutoHyphens w:val="0"/>
              <w:spacing w:after="0" w:line="259" w:lineRule="auto"/>
              <w:rPr>
                <w:rFonts w:eastAsia="Calibri" w:cs="Calibri"/>
                <w:szCs w:val="22"/>
              </w:rPr>
            </w:pPr>
          </w:p>
          <w:p w14:paraId="73B8A8B9" w14:textId="77777777" w:rsidR="00A71C1C" w:rsidRDefault="00A71C1C" w:rsidP="0027523D">
            <w:pPr>
              <w:suppressAutoHyphens w:val="0"/>
              <w:spacing w:after="0" w:line="259" w:lineRule="auto"/>
              <w:rPr>
                <w:rFonts w:eastAsia="Calibri" w:cs="Calibri"/>
                <w:szCs w:val="22"/>
              </w:rPr>
            </w:pPr>
          </w:p>
          <w:p w14:paraId="082E9B43" w14:textId="77777777" w:rsidR="00A71C1C" w:rsidRDefault="00A71C1C" w:rsidP="0027523D">
            <w:pPr>
              <w:suppressAutoHyphens w:val="0"/>
              <w:spacing w:after="0" w:line="259" w:lineRule="auto"/>
              <w:rPr>
                <w:rFonts w:eastAsia="Calibri" w:cs="Calibri"/>
                <w:szCs w:val="22"/>
              </w:rPr>
            </w:pPr>
          </w:p>
          <w:p w14:paraId="4E8048B5" w14:textId="77777777" w:rsidR="00A71C1C" w:rsidRDefault="00A71C1C" w:rsidP="0027523D">
            <w:pPr>
              <w:suppressAutoHyphens w:val="0"/>
              <w:spacing w:after="0" w:line="259" w:lineRule="auto"/>
              <w:rPr>
                <w:rFonts w:eastAsia="Calibri" w:cs="Calibri"/>
                <w:szCs w:val="22"/>
              </w:rPr>
            </w:pPr>
          </w:p>
          <w:p w14:paraId="775D1770" w14:textId="77777777" w:rsidR="00A71C1C" w:rsidRDefault="00A71C1C" w:rsidP="0027523D">
            <w:pPr>
              <w:suppressAutoHyphens w:val="0"/>
              <w:spacing w:after="0" w:line="259" w:lineRule="auto"/>
              <w:rPr>
                <w:rFonts w:eastAsia="Calibri" w:cs="Calibri"/>
                <w:szCs w:val="22"/>
              </w:rPr>
            </w:pPr>
          </w:p>
          <w:p w14:paraId="7D5AE135" w14:textId="77777777" w:rsidR="00A71C1C" w:rsidRDefault="00A71C1C" w:rsidP="0027523D">
            <w:pPr>
              <w:suppressAutoHyphens w:val="0"/>
              <w:spacing w:after="0" w:line="259" w:lineRule="auto"/>
              <w:rPr>
                <w:rFonts w:eastAsia="Calibri" w:cs="Calibri"/>
                <w:szCs w:val="22"/>
              </w:rPr>
            </w:pPr>
          </w:p>
          <w:p w14:paraId="57FAB3F9" w14:textId="0B1188E2" w:rsidR="000D7CDF" w:rsidRDefault="000D7CDF" w:rsidP="0027523D">
            <w:pPr>
              <w:suppressAutoHyphens w:val="0"/>
              <w:spacing w:after="0" w:line="259" w:lineRule="auto"/>
              <w:rPr>
                <w:rFonts w:eastAsia="Calibri" w:cs="Calibri"/>
                <w:szCs w:val="22"/>
              </w:rPr>
            </w:pPr>
            <w:r>
              <w:rPr>
                <w:rFonts w:eastAsia="Calibri" w:cs="Calibri"/>
                <w:szCs w:val="22"/>
              </w:rPr>
              <w:t>July 2025</w:t>
            </w:r>
          </w:p>
          <w:p w14:paraId="3ABCFA8D" w14:textId="77777777" w:rsidR="00A71C1C" w:rsidRDefault="00A71C1C" w:rsidP="0027523D">
            <w:pPr>
              <w:suppressAutoHyphens w:val="0"/>
              <w:spacing w:after="0" w:line="259" w:lineRule="auto"/>
              <w:rPr>
                <w:rFonts w:eastAsia="Calibri" w:cs="Calibri"/>
                <w:szCs w:val="22"/>
              </w:rPr>
            </w:pPr>
          </w:p>
          <w:tbl>
            <w:tblPr>
              <w:tblW w:w="7258" w:type="dxa"/>
              <w:tblInd w:w="112" w:type="dxa"/>
              <w:tblCellMar>
                <w:left w:w="10" w:type="dxa"/>
                <w:right w:w="10" w:type="dxa"/>
              </w:tblCellMar>
              <w:tblLook w:val="0000" w:firstRow="0" w:lastRow="0" w:firstColumn="0" w:lastColumn="0" w:noHBand="0" w:noVBand="0"/>
            </w:tblPr>
            <w:tblGrid>
              <w:gridCol w:w="1927"/>
              <w:gridCol w:w="1927"/>
              <w:gridCol w:w="1928"/>
              <w:gridCol w:w="1476"/>
            </w:tblGrid>
            <w:tr w:rsidR="00A71C1C" w14:paraId="1F36D48B"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42B22" w14:textId="77777777" w:rsidR="00A71C1C" w:rsidRDefault="00A71C1C" w:rsidP="00A71C1C">
                  <w:pPr>
                    <w:spacing w:after="0" w:line="240" w:lineRule="auto"/>
                  </w:pPr>
                  <w:r>
                    <w:t xml:space="preserve">PP – Reading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6009" w14:textId="77777777" w:rsidR="00A71C1C" w:rsidRDefault="00A71C1C" w:rsidP="00A71C1C">
                  <w:pPr>
                    <w:spacing w:after="0" w:line="240" w:lineRule="auto"/>
                  </w:pPr>
                  <w:r>
                    <w:t xml:space="preserve">Autumn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2B50" w14:textId="77777777" w:rsidR="00A71C1C" w:rsidRDefault="00A71C1C" w:rsidP="00A71C1C">
                  <w:pPr>
                    <w:spacing w:after="0" w:line="240" w:lineRule="auto"/>
                  </w:pPr>
                  <w:r>
                    <w:t xml:space="preserve">Spring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6112" w14:textId="77777777" w:rsidR="00A71C1C" w:rsidRDefault="00A71C1C" w:rsidP="00A71C1C">
                  <w:pPr>
                    <w:spacing w:after="0" w:line="240" w:lineRule="auto"/>
                  </w:pPr>
                  <w:r>
                    <w:t>Summer</w:t>
                  </w:r>
                </w:p>
              </w:tc>
            </w:tr>
            <w:tr w:rsidR="00A71C1C" w14:paraId="236A90DE"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ACA5" w14:textId="77777777" w:rsidR="00A71C1C" w:rsidRDefault="00A71C1C" w:rsidP="00A71C1C">
                  <w:pPr>
                    <w:spacing w:after="0" w:line="240" w:lineRule="auto"/>
                  </w:pPr>
                  <w:r>
                    <w:t xml:space="preserve">Year 1 -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E8BF" w14:textId="77777777" w:rsidR="00A71C1C" w:rsidRDefault="00A71C1C" w:rsidP="00A71C1C">
                  <w:pPr>
                    <w:spacing w:after="0" w:line="240" w:lineRule="auto"/>
                  </w:pPr>
                  <w:r>
                    <w:t>14%</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0A0B5" w14:textId="77777777" w:rsidR="00A71C1C" w:rsidRDefault="00A71C1C" w:rsidP="00A71C1C">
                  <w:pPr>
                    <w:spacing w:after="0" w:line="240" w:lineRule="auto"/>
                  </w:pPr>
                  <w:r>
                    <w:t>12%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17DE" w14:textId="77777777" w:rsidR="00A71C1C" w:rsidRDefault="00A71C1C" w:rsidP="00A71C1C">
                  <w:pPr>
                    <w:spacing w:after="0" w:line="240" w:lineRule="auto"/>
                  </w:pPr>
                  <w:r>
                    <w:t>38%</w:t>
                  </w:r>
                </w:p>
              </w:tc>
            </w:tr>
            <w:tr w:rsidR="00A71C1C" w14:paraId="6B5E9BE7"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59CF" w14:textId="77777777" w:rsidR="00A71C1C" w:rsidRDefault="00A71C1C" w:rsidP="00A71C1C">
                  <w:pPr>
                    <w:spacing w:after="0" w:line="240" w:lineRule="auto"/>
                  </w:pPr>
                  <w:r>
                    <w:t xml:space="preserve">Year 2 -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26C7" w14:textId="77777777" w:rsidR="00A71C1C" w:rsidRDefault="00A71C1C" w:rsidP="00A71C1C">
                  <w:pPr>
                    <w:spacing w:after="0" w:line="240" w:lineRule="auto"/>
                  </w:pPr>
                  <w:r>
                    <w:t>29%</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6C32" w14:textId="77777777" w:rsidR="00A71C1C" w:rsidRDefault="00A71C1C" w:rsidP="00A71C1C">
                  <w:pPr>
                    <w:spacing w:after="0" w:line="240" w:lineRule="auto"/>
                  </w:pPr>
                  <w:r>
                    <w:t>23%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415" w14:textId="77777777" w:rsidR="00A71C1C" w:rsidRDefault="00A71C1C" w:rsidP="00A71C1C">
                  <w:pPr>
                    <w:spacing w:after="0" w:line="240" w:lineRule="auto"/>
                  </w:pPr>
                  <w:r>
                    <w:t>36%</w:t>
                  </w:r>
                </w:p>
              </w:tc>
            </w:tr>
            <w:tr w:rsidR="00A71C1C" w14:paraId="62E1ACE7"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E88D" w14:textId="77777777" w:rsidR="00A71C1C" w:rsidRDefault="00A71C1C" w:rsidP="00A71C1C">
                  <w:pPr>
                    <w:spacing w:after="0" w:line="240" w:lineRule="auto"/>
                  </w:pPr>
                  <w:r>
                    <w:t>Year 3 -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37F9" w14:textId="77777777" w:rsidR="00A71C1C" w:rsidRDefault="00A71C1C" w:rsidP="00A71C1C">
                  <w:pPr>
                    <w:spacing w:after="0" w:line="240" w:lineRule="auto"/>
                  </w:pPr>
                  <w:r>
                    <w:t>55%</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219F" w14:textId="77777777" w:rsidR="00A71C1C" w:rsidRDefault="00A71C1C" w:rsidP="00A71C1C">
                  <w:pPr>
                    <w:spacing w:after="0" w:line="240" w:lineRule="auto"/>
                  </w:pPr>
                  <w:r>
                    <w:t>52%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CC9F" w14:textId="77777777" w:rsidR="00A71C1C" w:rsidRDefault="00A71C1C" w:rsidP="00A71C1C">
                  <w:pPr>
                    <w:spacing w:after="0" w:line="240" w:lineRule="auto"/>
                  </w:pPr>
                  <w:r>
                    <w:t>52%</w:t>
                  </w:r>
                </w:p>
              </w:tc>
            </w:tr>
            <w:tr w:rsidR="00A71C1C" w14:paraId="081E9769"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2FC27" w14:textId="77777777" w:rsidR="00A71C1C" w:rsidRDefault="00A71C1C" w:rsidP="00A71C1C">
                  <w:pPr>
                    <w:spacing w:after="0" w:line="240" w:lineRule="auto"/>
                  </w:pPr>
                  <w:r>
                    <w:t>Year 4 -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1CAB" w14:textId="77777777" w:rsidR="00A71C1C" w:rsidRDefault="00A71C1C" w:rsidP="00A71C1C">
                  <w:pPr>
                    <w:spacing w:after="0" w:line="240" w:lineRule="auto"/>
                  </w:pPr>
                  <w:r>
                    <w:t>59%</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87DF3" w14:textId="77777777" w:rsidR="00A71C1C" w:rsidRDefault="00A71C1C" w:rsidP="00A71C1C">
                  <w:pPr>
                    <w:spacing w:after="0" w:line="240" w:lineRule="auto"/>
                  </w:pPr>
                  <w:r>
                    <w:t>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4A51A" w14:textId="77777777" w:rsidR="00A71C1C" w:rsidRDefault="00A71C1C" w:rsidP="00A71C1C">
                  <w:pPr>
                    <w:spacing w:after="0" w:line="240" w:lineRule="auto"/>
                  </w:pPr>
                  <w:r>
                    <w:t>56%</w:t>
                  </w:r>
                </w:p>
              </w:tc>
            </w:tr>
            <w:tr w:rsidR="00A71C1C" w14:paraId="6139FFA6"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5D21" w14:textId="77777777" w:rsidR="00A71C1C" w:rsidRDefault="00A71C1C" w:rsidP="00A71C1C">
                  <w:pPr>
                    <w:spacing w:after="0" w:line="240" w:lineRule="auto"/>
                  </w:pPr>
                  <w:r>
                    <w:t>Year 5 -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8877D" w14:textId="77777777" w:rsidR="00A71C1C" w:rsidRDefault="00A71C1C" w:rsidP="00A71C1C">
                  <w:pPr>
                    <w:spacing w:after="0" w:line="240" w:lineRule="auto"/>
                  </w:pPr>
                  <w:r>
                    <w:t>45%</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B1B5" w14:textId="77777777" w:rsidR="00A71C1C" w:rsidRDefault="00A71C1C" w:rsidP="00A71C1C">
                  <w:pPr>
                    <w:spacing w:after="0" w:line="240" w:lineRule="auto"/>
                  </w:pPr>
                  <w:r>
                    <w:t>59%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4ACB" w14:textId="77777777" w:rsidR="00A71C1C" w:rsidRDefault="00A71C1C" w:rsidP="00A71C1C">
                  <w:pPr>
                    <w:spacing w:after="0" w:line="240" w:lineRule="auto"/>
                  </w:pPr>
                  <w:r>
                    <w:t>69%</w:t>
                  </w:r>
                </w:p>
              </w:tc>
            </w:tr>
            <w:tr w:rsidR="00A71C1C" w14:paraId="565255AF" w14:textId="77777777" w:rsidTr="00D90510">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15C19" w14:textId="77777777" w:rsidR="00A71C1C" w:rsidRDefault="00A71C1C" w:rsidP="00A71C1C">
                  <w:pPr>
                    <w:spacing w:after="0" w:line="240" w:lineRule="auto"/>
                  </w:pPr>
                  <w:r>
                    <w:t>Year 6 -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E7EC" w14:textId="77777777" w:rsidR="00A71C1C" w:rsidRDefault="00A71C1C" w:rsidP="00A71C1C">
                  <w:pPr>
                    <w:spacing w:after="0" w:line="240" w:lineRule="auto"/>
                  </w:pPr>
                  <w:r>
                    <w:t>69%</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C3574" w14:textId="77777777" w:rsidR="00A71C1C" w:rsidRDefault="00A71C1C" w:rsidP="00A71C1C">
                  <w:pPr>
                    <w:spacing w:after="0" w:line="240" w:lineRule="auto"/>
                  </w:pPr>
                  <w:r>
                    <w:t>68%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B928F" w14:textId="77777777" w:rsidR="00A71C1C" w:rsidRDefault="00A71C1C" w:rsidP="00A71C1C">
                  <w:pPr>
                    <w:spacing w:after="0" w:line="240" w:lineRule="auto"/>
                  </w:pPr>
                  <w:r>
                    <w:t>60%</w:t>
                  </w:r>
                </w:p>
              </w:tc>
            </w:tr>
          </w:tbl>
          <w:p w14:paraId="7AB1CC36" w14:textId="77777777" w:rsidR="00A71C1C" w:rsidRDefault="00A71C1C" w:rsidP="0027523D">
            <w:pPr>
              <w:suppressAutoHyphens w:val="0"/>
              <w:spacing w:after="0" w:line="259" w:lineRule="auto"/>
              <w:rPr>
                <w:rFonts w:eastAsia="Calibri" w:cs="Calibri"/>
                <w:szCs w:val="22"/>
              </w:rPr>
            </w:pPr>
          </w:p>
          <w:p w14:paraId="249F4CE3" w14:textId="5A4E8147" w:rsidR="000D7CDF" w:rsidRDefault="00A71C1C" w:rsidP="0027523D">
            <w:pPr>
              <w:suppressAutoHyphens w:val="0"/>
              <w:spacing w:after="0" w:line="259" w:lineRule="auto"/>
              <w:rPr>
                <w:rFonts w:eastAsia="Calibri" w:cs="Calibri"/>
                <w:szCs w:val="22"/>
              </w:rPr>
            </w:pPr>
            <w:proofErr w:type="gramStart"/>
            <w:r>
              <w:rPr>
                <w:rFonts w:eastAsia="Calibri" w:cs="Calibri"/>
                <w:szCs w:val="22"/>
              </w:rPr>
              <w:t>Overall</w:t>
            </w:r>
            <w:proofErr w:type="gramEnd"/>
            <w:r>
              <w:rPr>
                <w:rFonts w:eastAsia="Calibri" w:cs="Calibri"/>
                <w:szCs w:val="22"/>
              </w:rPr>
              <w:t xml:space="preserve"> the gap is narrowing year on year; however, due to mobility, percentages vary slightly between data collections e.g. in Years 3 to 4, this formed part of termly pupil progress meetings.</w:t>
            </w:r>
          </w:p>
          <w:p w14:paraId="36D0E9C3" w14:textId="633D53A4" w:rsidR="000D7CDF" w:rsidRPr="0027523D" w:rsidRDefault="000D7CDF" w:rsidP="0027523D">
            <w:pPr>
              <w:suppressAutoHyphens w:val="0"/>
              <w:spacing w:after="0" w:line="259" w:lineRule="auto"/>
              <w:rPr>
                <w:rFonts w:eastAsia="Calibri" w:cs="Calibri"/>
                <w:szCs w:val="22"/>
              </w:rPr>
            </w:pPr>
          </w:p>
        </w:tc>
      </w:tr>
      <w:tr w:rsidR="00D90510" w:rsidRPr="0027523D" w14:paraId="574D97F9" w14:textId="77777777" w:rsidTr="7235C2A4">
        <w:trPr>
          <w:trHeight w:val="2557"/>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967A" w14:textId="6F58A75F" w:rsidR="00D90510" w:rsidRPr="0027523D" w:rsidRDefault="00D90510" w:rsidP="0027523D">
            <w:pPr>
              <w:suppressAutoHyphens w:val="0"/>
              <w:spacing w:after="0" w:line="259" w:lineRule="auto"/>
              <w:rPr>
                <w:rFonts w:eastAsia="Calibri" w:cs="Calibri"/>
                <w:szCs w:val="22"/>
              </w:rPr>
            </w:pPr>
            <w:r>
              <w:lastRenderedPageBreak/>
              <w:t>Writing for a purpose and improvement using grammar, punctuation and spelling.</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9FF6" w14:textId="77777777" w:rsidR="00D90510" w:rsidRDefault="00D90510" w:rsidP="0027523D">
            <w:pPr>
              <w:suppressAutoHyphens w:val="0"/>
              <w:spacing w:after="0" w:line="259" w:lineRule="auto"/>
            </w:pPr>
            <w:r>
              <w:t>Pupils writing to show improved development. Targeted support planned and taught to small groups.</w:t>
            </w:r>
          </w:p>
          <w:p w14:paraId="01F6372F" w14:textId="77777777" w:rsidR="00D90510" w:rsidRDefault="00D90510" w:rsidP="0027523D">
            <w:pPr>
              <w:suppressAutoHyphens w:val="0"/>
              <w:spacing w:after="0" w:line="259" w:lineRule="auto"/>
            </w:pPr>
          </w:p>
          <w:p w14:paraId="3B0C1546" w14:textId="77777777" w:rsidR="00D90510" w:rsidRDefault="00D90510" w:rsidP="0027523D">
            <w:pPr>
              <w:suppressAutoHyphens w:val="0"/>
              <w:spacing w:after="0" w:line="259" w:lineRule="auto"/>
            </w:pPr>
          </w:p>
          <w:p w14:paraId="5D2898D9" w14:textId="77777777" w:rsidR="00D90510" w:rsidRDefault="00D90510" w:rsidP="0027523D">
            <w:pPr>
              <w:suppressAutoHyphens w:val="0"/>
              <w:spacing w:after="0" w:line="259" w:lineRule="auto"/>
            </w:pPr>
          </w:p>
          <w:p w14:paraId="3E2E1951" w14:textId="77777777" w:rsidR="00D90510" w:rsidRDefault="00D90510" w:rsidP="0027523D">
            <w:pPr>
              <w:suppressAutoHyphens w:val="0"/>
              <w:spacing w:after="0" w:line="259" w:lineRule="auto"/>
            </w:pPr>
          </w:p>
          <w:p w14:paraId="577B86E5" w14:textId="77777777" w:rsidR="00D90510" w:rsidRDefault="00D90510" w:rsidP="0027523D">
            <w:pPr>
              <w:suppressAutoHyphens w:val="0"/>
              <w:spacing w:after="0" w:line="259" w:lineRule="auto"/>
              <w:rPr>
                <w:rFonts w:eastAsia="Calibri" w:cs="Calibri"/>
                <w:szCs w:val="22"/>
              </w:rPr>
            </w:pPr>
          </w:p>
          <w:p w14:paraId="57BC2DBC" w14:textId="77777777" w:rsidR="00D90510" w:rsidRDefault="00D90510" w:rsidP="0027523D">
            <w:pPr>
              <w:suppressAutoHyphens w:val="0"/>
              <w:spacing w:after="0" w:line="259" w:lineRule="auto"/>
              <w:rPr>
                <w:rFonts w:eastAsia="Calibri" w:cs="Calibri"/>
                <w:szCs w:val="22"/>
              </w:rPr>
            </w:pPr>
          </w:p>
          <w:p w14:paraId="751199A6" w14:textId="77777777" w:rsidR="00D90510" w:rsidRDefault="00D90510" w:rsidP="0027523D">
            <w:pPr>
              <w:suppressAutoHyphens w:val="0"/>
              <w:spacing w:after="0" w:line="259" w:lineRule="auto"/>
              <w:rPr>
                <w:rFonts w:eastAsia="Calibri" w:cs="Calibri"/>
                <w:szCs w:val="22"/>
              </w:rPr>
            </w:pPr>
          </w:p>
          <w:p w14:paraId="24ACC7A3" w14:textId="77777777" w:rsidR="00D90510" w:rsidRDefault="00D90510" w:rsidP="0027523D">
            <w:pPr>
              <w:suppressAutoHyphens w:val="0"/>
              <w:spacing w:after="0" w:line="259" w:lineRule="auto"/>
              <w:rPr>
                <w:rFonts w:eastAsia="Calibri" w:cs="Calibri"/>
                <w:szCs w:val="22"/>
              </w:rPr>
            </w:pPr>
          </w:p>
          <w:p w14:paraId="5010BECA" w14:textId="77777777" w:rsidR="00D90510" w:rsidRDefault="00D90510" w:rsidP="0027523D">
            <w:pPr>
              <w:suppressAutoHyphens w:val="0"/>
              <w:spacing w:after="0" w:line="259" w:lineRule="auto"/>
              <w:rPr>
                <w:rFonts w:eastAsia="Calibri" w:cs="Calibri"/>
                <w:szCs w:val="22"/>
              </w:rPr>
            </w:pPr>
          </w:p>
          <w:p w14:paraId="5B3233F9" w14:textId="77777777" w:rsidR="00D90510" w:rsidRDefault="00D90510" w:rsidP="0027523D">
            <w:pPr>
              <w:suppressAutoHyphens w:val="0"/>
              <w:spacing w:after="0" w:line="259" w:lineRule="auto"/>
              <w:rPr>
                <w:rFonts w:eastAsia="Calibri" w:cs="Calibri"/>
                <w:szCs w:val="22"/>
              </w:rPr>
            </w:pPr>
          </w:p>
          <w:p w14:paraId="16B384D0" w14:textId="2D742167" w:rsidR="00D90510" w:rsidRPr="0027523D" w:rsidRDefault="00D90510" w:rsidP="0027523D">
            <w:pPr>
              <w:suppressAutoHyphens w:val="0"/>
              <w:spacing w:after="0" w:line="259" w:lineRule="auto"/>
              <w:rPr>
                <w:rFonts w:eastAsia="Calibri" w:cs="Calibri"/>
                <w:szCs w:val="22"/>
              </w:rPr>
            </w:pPr>
          </w:p>
        </w:tc>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35D9E" w14:textId="77777777" w:rsidR="00D90510" w:rsidRDefault="00D90510" w:rsidP="0027523D">
            <w:pPr>
              <w:suppressAutoHyphens w:val="0"/>
              <w:spacing w:after="0" w:line="259" w:lineRule="auto"/>
              <w:rPr>
                <w:rFonts w:eastAsia="Calibri" w:cs="Calibri"/>
                <w:noProof/>
                <w:szCs w:val="22"/>
              </w:rPr>
            </w:pPr>
            <w:r>
              <w:rPr>
                <w:noProof/>
              </w:rPr>
              <w:drawing>
                <wp:anchor distT="0" distB="0" distL="114300" distR="114300" simplePos="0" relativeHeight="251660288" behindDoc="0" locked="0" layoutInCell="1" allowOverlap="1" wp14:anchorId="51E9BBDF" wp14:editId="15CDDFD8">
                  <wp:simplePos x="0" y="0"/>
                  <wp:positionH relativeFrom="column">
                    <wp:posOffset>-66675</wp:posOffset>
                  </wp:positionH>
                  <wp:positionV relativeFrom="paragraph">
                    <wp:posOffset>53340</wp:posOffset>
                  </wp:positionV>
                  <wp:extent cx="5149215" cy="2872740"/>
                  <wp:effectExtent l="0" t="0" r="0" b="3810"/>
                  <wp:wrapSquare wrapText="bothSides"/>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21">
                            <a:extLst>
                              <a:ext uri="{28A0092B-C50C-407E-A947-70E740481C1C}">
                                <a14:useLocalDpi xmlns:a14="http://schemas.microsoft.com/office/drawing/2010/main" val="0"/>
                              </a:ext>
                            </a:extLst>
                          </a:blip>
                          <a:stretch>
                            <a:fillRect/>
                          </a:stretch>
                        </pic:blipFill>
                        <pic:spPr>
                          <a:xfrm>
                            <a:off x="0" y="0"/>
                            <a:ext cx="5149215" cy="2872740"/>
                          </a:xfrm>
                          <a:prstGeom prst="rect">
                            <a:avLst/>
                          </a:prstGeom>
                        </pic:spPr>
                      </pic:pic>
                    </a:graphicData>
                  </a:graphic>
                  <wp14:sizeRelH relativeFrom="margin">
                    <wp14:pctWidth>0</wp14:pctWidth>
                  </wp14:sizeRelH>
                  <wp14:sizeRelV relativeFrom="margin">
                    <wp14:pctHeight>0</wp14:pctHeight>
                  </wp14:sizeRelV>
                </wp:anchor>
              </w:drawing>
            </w:r>
          </w:p>
          <w:p w14:paraId="20BB8E2E" w14:textId="0531F7E0" w:rsidR="00D90510" w:rsidRDefault="00D90510" w:rsidP="00D90510">
            <w:pPr>
              <w:rPr>
                <w:rFonts w:eastAsia="Calibri" w:cs="Calibri"/>
                <w:szCs w:val="22"/>
              </w:rPr>
            </w:pPr>
            <w:r>
              <w:rPr>
                <w:rFonts w:eastAsia="Calibri" w:cs="Calibri"/>
                <w:szCs w:val="22"/>
              </w:rPr>
              <w:t>July 2025:</w:t>
            </w:r>
          </w:p>
          <w:tbl>
            <w:tblPr>
              <w:tblW w:w="8384" w:type="dxa"/>
              <w:tblCellMar>
                <w:left w:w="10" w:type="dxa"/>
                <w:right w:w="10" w:type="dxa"/>
              </w:tblCellMar>
              <w:tblLook w:val="04A0" w:firstRow="1" w:lastRow="0" w:firstColumn="1" w:lastColumn="0" w:noHBand="0" w:noVBand="1"/>
            </w:tblPr>
            <w:tblGrid>
              <w:gridCol w:w="2095"/>
              <w:gridCol w:w="2095"/>
              <w:gridCol w:w="2097"/>
              <w:gridCol w:w="2097"/>
            </w:tblGrid>
            <w:tr w:rsidR="00D90510" w14:paraId="4A7DC432"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60F3E" w14:textId="77777777" w:rsidR="00D90510" w:rsidRDefault="00D90510" w:rsidP="00D90510">
                  <w:pPr>
                    <w:spacing w:after="0" w:line="240" w:lineRule="auto"/>
                    <w:rPr>
                      <w:color w:val="auto"/>
                    </w:rPr>
                  </w:pPr>
                  <w:r>
                    <w:t xml:space="preserve">PP – Writing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3A1A0" w14:textId="77777777" w:rsidR="00D90510" w:rsidRDefault="00D90510" w:rsidP="00D90510">
                  <w:pPr>
                    <w:spacing w:after="0" w:line="240" w:lineRule="auto"/>
                  </w:pPr>
                  <w:r>
                    <w:t xml:space="preserve">Autumn </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C6ABE" w14:textId="77777777" w:rsidR="00D90510" w:rsidRDefault="00D90510" w:rsidP="00D90510">
                  <w:pPr>
                    <w:spacing w:after="0" w:line="240" w:lineRule="auto"/>
                  </w:pPr>
                  <w:r>
                    <w:t xml:space="preserve">Spring </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B8EA" w14:textId="77777777" w:rsidR="00D90510" w:rsidRDefault="00D90510" w:rsidP="00D90510">
                  <w:pPr>
                    <w:spacing w:after="0" w:line="240" w:lineRule="auto"/>
                  </w:pPr>
                  <w:r>
                    <w:t>Summer</w:t>
                  </w:r>
                </w:p>
              </w:tc>
            </w:tr>
            <w:tr w:rsidR="00D90510" w14:paraId="4E8F6837"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C8E2D" w14:textId="77777777" w:rsidR="00D90510" w:rsidRDefault="00D90510" w:rsidP="00D90510">
                  <w:pPr>
                    <w:spacing w:after="0" w:line="240" w:lineRule="auto"/>
                  </w:pPr>
                  <w:r>
                    <w:t xml:space="preserve">Year 1 -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7304A" w14:textId="77777777" w:rsidR="00D90510" w:rsidRDefault="00D90510" w:rsidP="00D90510">
                  <w:pPr>
                    <w:spacing w:after="0" w:line="240" w:lineRule="auto"/>
                  </w:pPr>
                  <w:r>
                    <w:t>7%</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357E" w14:textId="77777777" w:rsidR="00D90510" w:rsidRDefault="00D90510" w:rsidP="00D90510">
                  <w:pPr>
                    <w:spacing w:after="0" w:line="240" w:lineRule="auto"/>
                  </w:pPr>
                  <w:r>
                    <w:t>6%</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4D581" w14:textId="77777777" w:rsidR="00D90510" w:rsidRDefault="00D90510" w:rsidP="00D90510">
                  <w:pPr>
                    <w:spacing w:after="0" w:line="240" w:lineRule="auto"/>
                  </w:pPr>
                  <w:r>
                    <w:t>24%</w:t>
                  </w:r>
                </w:p>
              </w:tc>
            </w:tr>
            <w:tr w:rsidR="00D90510" w14:paraId="382D46BC"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DE237" w14:textId="77777777" w:rsidR="00D90510" w:rsidRDefault="00D90510" w:rsidP="00D90510">
                  <w:pPr>
                    <w:spacing w:after="0" w:line="240" w:lineRule="auto"/>
                  </w:pPr>
                  <w:r>
                    <w:t xml:space="preserve">Year 2 -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48D3" w14:textId="77777777" w:rsidR="00D90510" w:rsidRDefault="00D90510" w:rsidP="00D90510">
                  <w:pPr>
                    <w:spacing w:after="0" w:line="240" w:lineRule="auto"/>
                  </w:pPr>
                  <w:r>
                    <w:t>21%</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28F69" w14:textId="77777777" w:rsidR="00D90510" w:rsidRDefault="00D90510" w:rsidP="00D90510">
                  <w:pPr>
                    <w:spacing w:after="0" w:line="240" w:lineRule="auto"/>
                  </w:pPr>
                  <w:r>
                    <w:t>15%</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470EF" w14:textId="77777777" w:rsidR="00D90510" w:rsidRDefault="00D90510" w:rsidP="00D90510">
                  <w:pPr>
                    <w:spacing w:after="0" w:line="240" w:lineRule="auto"/>
                  </w:pPr>
                  <w:r>
                    <w:t>14%</w:t>
                  </w:r>
                </w:p>
              </w:tc>
            </w:tr>
            <w:tr w:rsidR="00D90510" w14:paraId="3D383746"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F5FD5" w14:textId="77777777" w:rsidR="00D90510" w:rsidRDefault="00D90510" w:rsidP="00D90510">
                  <w:pPr>
                    <w:spacing w:after="0" w:line="240" w:lineRule="auto"/>
                  </w:pPr>
                  <w:r>
                    <w:t>Year 3 -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C376F" w14:textId="77777777" w:rsidR="00D90510" w:rsidRDefault="00D90510" w:rsidP="00D90510">
                  <w:pPr>
                    <w:spacing w:after="0" w:line="240" w:lineRule="auto"/>
                  </w:pPr>
                  <w:r>
                    <w:t>40%</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77AFD" w14:textId="77777777" w:rsidR="00D90510" w:rsidRDefault="00D90510" w:rsidP="00D90510">
                  <w:pPr>
                    <w:spacing w:after="0" w:line="240" w:lineRule="auto"/>
                  </w:pPr>
                  <w:r>
                    <w:t>38%</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5F155" w14:textId="77777777" w:rsidR="00D90510" w:rsidRDefault="00D90510" w:rsidP="00D90510">
                  <w:pPr>
                    <w:spacing w:after="0" w:line="240" w:lineRule="auto"/>
                  </w:pPr>
                  <w:r>
                    <w:t>38%</w:t>
                  </w:r>
                </w:p>
              </w:tc>
            </w:tr>
            <w:tr w:rsidR="00D90510" w14:paraId="13E25CEF"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D59C3" w14:textId="77777777" w:rsidR="00D90510" w:rsidRDefault="00D90510" w:rsidP="00D90510">
                  <w:pPr>
                    <w:spacing w:after="0" w:line="240" w:lineRule="auto"/>
                  </w:pPr>
                  <w:r>
                    <w:t>Year 4 -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965CF" w14:textId="77777777" w:rsidR="00D90510" w:rsidRDefault="00D90510" w:rsidP="00D90510">
                  <w:pPr>
                    <w:spacing w:after="0" w:line="240" w:lineRule="auto"/>
                  </w:pPr>
                  <w:r>
                    <w:t>55%</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3731D" w14:textId="77777777" w:rsidR="00D90510" w:rsidRDefault="00D90510" w:rsidP="00D90510">
                  <w:pPr>
                    <w:spacing w:after="0" w:line="240" w:lineRule="auto"/>
                  </w:pPr>
                  <w:r>
                    <w:t>43%</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4133A" w14:textId="77777777" w:rsidR="00D90510" w:rsidRDefault="00D90510" w:rsidP="00D90510">
                  <w:pPr>
                    <w:spacing w:after="0" w:line="240" w:lineRule="auto"/>
                  </w:pPr>
                  <w:r>
                    <w:t>43%</w:t>
                  </w:r>
                </w:p>
              </w:tc>
            </w:tr>
            <w:tr w:rsidR="00D90510" w14:paraId="6571C1CC"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3ED86" w14:textId="77777777" w:rsidR="00D90510" w:rsidRDefault="00D90510" w:rsidP="00D90510">
                  <w:pPr>
                    <w:spacing w:after="0" w:line="240" w:lineRule="auto"/>
                  </w:pPr>
                  <w:r>
                    <w:t>Year 5 -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C306F" w14:textId="77777777" w:rsidR="00D90510" w:rsidRDefault="00D90510" w:rsidP="00D90510">
                  <w:pPr>
                    <w:spacing w:after="0" w:line="240" w:lineRule="auto"/>
                  </w:pPr>
                  <w:r>
                    <w:t>36%</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AC473" w14:textId="77777777" w:rsidR="00D90510" w:rsidRDefault="00D90510" w:rsidP="00D90510">
                  <w:pPr>
                    <w:spacing w:after="0" w:line="240" w:lineRule="auto"/>
                  </w:pPr>
                  <w:r>
                    <w:t>41%</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F5D79" w14:textId="77777777" w:rsidR="00D90510" w:rsidRDefault="00D90510" w:rsidP="00D90510">
                  <w:pPr>
                    <w:spacing w:after="0" w:line="240" w:lineRule="auto"/>
                  </w:pPr>
                  <w:r>
                    <w:t>39%</w:t>
                  </w:r>
                </w:p>
              </w:tc>
            </w:tr>
            <w:tr w:rsidR="00D90510" w14:paraId="12E281AF" w14:textId="77777777" w:rsidTr="00D90510">
              <w:trPr>
                <w:trHeight w:val="284"/>
              </w:trPr>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49CF4" w14:textId="77777777" w:rsidR="00D90510" w:rsidRDefault="00D90510" w:rsidP="00D90510">
                  <w:pPr>
                    <w:spacing w:after="0" w:line="240" w:lineRule="auto"/>
                  </w:pPr>
                  <w:r>
                    <w:t>Year 6 -</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6216C" w14:textId="77777777" w:rsidR="00D90510" w:rsidRDefault="00D90510" w:rsidP="00D90510">
                  <w:pPr>
                    <w:spacing w:after="0" w:line="240" w:lineRule="auto"/>
                  </w:pPr>
                  <w:r>
                    <w:t>48%</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CEB79" w14:textId="77777777" w:rsidR="00D90510" w:rsidRDefault="00D90510" w:rsidP="00D90510">
                  <w:pPr>
                    <w:spacing w:after="0" w:line="240" w:lineRule="auto"/>
                  </w:pPr>
                  <w:r>
                    <w:t>54%</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2667C" w14:textId="77777777" w:rsidR="00D90510" w:rsidRDefault="00D90510" w:rsidP="00D90510">
                  <w:pPr>
                    <w:spacing w:after="0" w:line="240" w:lineRule="auto"/>
                  </w:pPr>
                  <w:r>
                    <w:t>58%</w:t>
                  </w:r>
                </w:p>
              </w:tc>
            </w:tr>
          </w:tbl>
          <w:p w14:paraId="1B704B70" w14:textId="77777777" w:rsidR="00D90510" w:rsidRDefault="00D90510" w:rsidP="00D90510">
            <w:pPr>
              <w:rPr>
                <w:rFonts w:eastAsia="Calibri" w:cs="Calibri"/>
                <w:szCs w:val="22"/>
              </w:rPr>
            </w:pPr>
          </w:p>
          <w:p w14:paraId="7FFAE5C4" w14:textId="5140DB32" w:rsidR="00D90510" w:rsidRPr="00D90510" w:rsidRDefault="00D63AAB" w:rsidP="00D90510">
            <w:pPr>
              <w:rPr>
                <w:rFonts w:eastAsia="Calibri" w:cs="Calibri"/>
                <w:szCs w:val="22"/>
              </w:rPr>
            </w:pPr>
            <w:r>
              <w:rPr>
                <w:rFonts w:eastAsia="Calibri" w:cs="Calibri"/>
                <w:szCs w:val="22"/>
              </w:rPr>
              <w:t>Writing continues to be a school priority</w:t>
            </w:r>
          </w:p>
        </w:tc>
      </w:tr>
      <w:tr w:rsidR="00D63AAB" w:rsidRPr="0027523D" w14:paraId="0748D6DC" w14:textId="77777777" w:rsidTr="7235C2A4">
        <w:trPr>
          <w:trHeight w:val="2557"/>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14893" w14:textId="5EDA1ED1" w:rsidR="00D63AAB" w:rsidRDefault="00D63AAB" w:rsidP="0027523D">
            <w:pPr>
              <w:suppressAutoHyphens w:val="0"/>
              <w:spacing w:after="0" w:line="259" w:lineRule="auto"/>
            </w:pPr>
            <w:r>
              <w:t>To achieve and sustain improved attendance for all pupils, particularly our disadvantaged.</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A0F54" w14:textId="77777777" w:rsidR="00D63AAB" w:rsidRDefault="00D63AAB" w:rsidP="00D63AAB">
            <w:pPr>
              <w:suppressAutoHyphens w:val="0"/>
              <w:spacing w:after="0" w:line="259" w:lineRule="auto"/>
            </w:pPr>
            <w:r>
              <w:t xml:space="preserve">Increased attendance for all pupils to close the gap with the expected national figure.  </w:t>
            </w:r>
          </w:p>
          <w:p w14:paraId="659A1142" w14:textId="0E9AE827" w:rsidR="00D63AAB" w:rsidRDefault="00D63AAB" w:rsidP="00D63AAB">
            <w:pPr>
              <w:suppressAutoHyphens w:val="0"/>
              <w:spacing w:after="0" w:line="259" w:lineRule="auto"/>
            </w:pPr>
            <w:r>
              <w:t xml:space="preserve">Work closely with the </w:t>
            </w:r>
            <w:r>
              <w:lastRenderedPageBreak/>
              <w:t>school attendance officer to lower the percentage of persistent absences for all children.</w:t>
            </w:r>
          </w:p>
        </w:tc>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F970B" w14:textId="1685DB2B" w:rsidR="00D63AAB" w:rsidRDefault="00D63AAB" w:rsidP="0027523D">
            <w:pPr>
              <w:suppressAutoHyphens w:val="0"/>
              <w:spacing w:after="0" w:line="259" w:lineRule="auto"/>
              <w:rPr>
                <w:noProof/>
              </w:rPr>
            </w:pPr>
            <w:r>
              <w:rPr>
                <w:noProof/>
              </w:rPr>
              <w:lastRenderedPageBreak/>
              <w:t>July 2024</w:t>
            </w:r>
          </w:p>
          <w:p w14:paraId="2A2E7950" w14:textId="43ABC03B" w:rsidR="00D63AAB" w:rsidRDefault="00D63AAB" w:rsidP="0027523D">
            <w:pPr>
              <w:suppressAutoHyphens w:val="0"/>
              <w:spacing w:after="0" w:line="259" w:lineRule="auto"/>
              <w:rPr>
                <w:noProof/>
              </w:rPr>
            </w:pPr>
          </w:p>
          <w:p w14:paraId="4590C3BD" w14:textId="137A51AC" w:rsidR="00D63AAB" w:rsidRDefault="00D63AAB" w:rsidP="0027523D">
            <w:pPr>
              <w:suppressAutoHyphens w:val="0"/>
              <w:spacing w:after="0" w:line="259" w:lineRule="auto"/>
              <w:rPr>
                <w:noProof/>
              </w:rPr>
            </w:pPr>
            <w:r>
              <w:rPr>
                <w:noProof/>
              </w:rPr>
              <w:drawing>
                <wp:inline distT="0" distB="0" distL="0" distR="0" wp14:anchorId="1369038B" wp14:editId="37FAC5E4">
                  <wp:extent cx="5143500" cy="885825"/>
                  <wp:effectExtent l="0" t="0" r="0" b="9525"/>
                  <wp:docPr id="2243" name="Picture 2243"/>
                  <wp:cNvGraphicFramePr/>
                  <a:graphic xmlns:a="http://schemas.openxmlformats.org/drawingml/2006/main">
                    <a:graphicData uri="http://schemas.openxmlformats.org/drawingml/2006/picture">
                      <pic:pic xmlns:pic="http://schemas.openxmlformats.org/drawingml/2006/picture">
                        <pic:nvPicPr>
                          <pic:cNvPr id="2243" name="Picture 2243"/>
                          <pic:cNvPicPr/>
                        </pic:nvPicPr>
                        <pic:blipFill>
                          <a:blip r:embed="rId22"/>
                          <a:stretch>
                            <a:fillRect/>
                          </a:stretch>
                        </pic:blipFill>
                        <pic:spPr>
                          <a:xfrm>
                            <a:off x="0" y="0"/>
                            <a:ext cx="5143500" cy="885825"/>
                          </a:xfrm>
                          <a:prstGeom prst="rect">
                            <a:avLst/>
                          </a:prstGeom>
                        </pic:spPr>
                      </pic:pic>
                    </a:graphicData>
                  </a:graphic>
                </wp:inline>
              </w:drawing>
            </w:r>
          </w:p>
          <w:p w14:paraId="06C13B4C" w14:textId="6204D1EA" w:rsidR="00D63AAB" w:rsidRDefault="00D63AAB" w:rsidP="00D63AAB"/>
          <w:p w14:paraId="5A5A15F4" w14:textId="7125820D" w:rsidR="00D63AAB" w:rsidRDefault="00E82D10" w:rsidP="00D63AAB">
            <w:r w:rsidRPr="00E82D10">
              <w:rPr>
                <w:noProof/>
              </w:rPr>
              <w:drawing>
                <wp:anchor distT="0" distB="0" distL="114300" distR="114300" simplePos="0" relativeHeight="251661312" behindDoc="0" locked="0" layoutInCell="1" allowOverlap="1" wp14:anchorId="71BAD4BB" wp14:editId="49C9FE35">
                  <wp:simplePos x="0" y="0"/>
                  <wp:positionH relativeFrom="column">
                    <wp:posOffset>72390</wp:posOffset>
                  </wp:positionH>
                  <wp:positionV relativeFrom="paragraph">
                    <wp:posOffset>316865</wp:posOffset>
                  </wp:positionV>
                  <wp:extent cx="5015865"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15865" cy="838200"/>
                          </a:xfrm>
                          <a:prstGeom prst="rect">
                            <a:avLst/>
                          </a:prstGeom>
                        </pic:spPr>
                      </pic:pic>
                    </a:graphicData>
                  </a:graphic>
                  <wp14:sizeRelH relativeFrom="margin">
                    <wp14:pctWidth>0</wp14:pctWidth>
                  </wp14:sizeRelH>
                  <wp14:sizeRelV relativeFrom="margin">
                    <wp14:pctHeight>0</wp14:pctHeight>
                  </wp14:sizeRelV>
                </wp:anchor>
              </w:drawing>
            </w:r>
            <w:r w:rsidR="00D63AAB">
              <w:t>July 2025</w:t>
            </w:r>
          </w:p>
          <w:p w14:paraId="17F5ED61" w14:textId="77777777" w:rsidR="00D63AAB" w:rsidRDefault="00D63AAB" w:rsidP="00D63AAB"/>
          <w:p w14:paraId="6294F35B" w14:textId="67D94DE9" w:rsidR="00E82D10" w:rsidRPr="00D63AAB" w:rsidRDefault="00E82D10" w:rsidP="00D63AAB">
            <w:r>
              <w:lastRenderedPageBreak/>
              <w:t>For pupils in receipt of the PPG, overall attendance improved by 1.25%. Authorised absence rates improved by 0.48% and unauthorised absence rates improved by 1.32%.</w:t>
            </w:r>
          </w:p>
        </w:tc>
      </w:tr>
    </w:tbl>
    <w:p w14:paraId="51560BDA" w14:textId="2C5043C4" w:rsidR="0027523D" w:rsidRPr="0027523D" w:rsidRDefault="0027523D" w:rsidP="0027523D">
      <w:pPr>
        <w:suppressAutoHyphens w:val="0"/>
        <w:autoSpaceDN/>
        <w:spacing w:after="0" w:line="259" w:lineRule="auto"/>
        <w:ind w:left="4647"/>
        <w:jc w:val="both"/>
        <w:rPr>
          <w:rFonts w:ascii="Calibri" w:eastAsia="Calibri" w:hAnsi="Calibri" w:cs="Calibri"/>
          <w:szCs w:val="22"/>
        </w:rPr>
      </w:pPr>
      <w:r w:rsidRPr="0027523D">
        <w:rPr>
          <w:rFonts w:eastAsia="Arial" w:cs="Arial"/>
          <w:szCs w:val="22"/>
        </w:rPr>
        <w:lastRenderedPageBreak/>
        <w:t xml:space="preserve"> </w:t>
      </w:r>
    </w:p>
    <w:p w14:paraId="5C913D73" w14:textId="77777777" w:rsidR="00BC5F0F" w:rsidRPr="00BC5F0F" w:rsidRDefault="00BC5F0F" w:rsidP="00BC5F0F"/>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23926C" w14:textId="49F49E22" w:rsidR="0064167B" w:rsidRPr="002F4C6F" w:rsidRDefault="00707697" w:rsidP="00242093">
            <w:pPr>
              <w:spacing w:before="60"/>
              <w:rPr>
                <w:i/>
                <w:iCs/>
                <w:lang w:eastAsia="en-US"/>
              </w:rPr>
            </w:pPr>
            <w:r>
              <w:t>Throughout 2024/25, clear progress was made for disadvantaged pupils. Pupil progress meetings were used effectively to coach teachers in identifying barriers to learning, particularly for pupils eligible for Pupil Premium funding. This informed the implementation of bespoke, targeted academic support and interventions, directly impacting attainment, progress, behaviour and wellbeing</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4C" w14:textId="77777777" w:rsidTr="00E82D10">
        <w:tc>
          <w:tcPr>
            <w:tcW w:w="530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51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82D10" w14:paraId="2A7D554F" w14:textId="77777777" w:rsidTr="00E82D10">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C1D21CD" w:rsidR="00E82D10" w:rsidRDefault="00E82D10" w:rsidP="00E82D10">
            <w:pPr>
              <w:pStyle w:val="TableRow"/>
              <w:ind w:left="0" w:right="0"/>
            </w:pPr>
            <w:r>
              <w:rPr>
                <w:rFonts w:eastAsia="Arial" w:cs="Arial"/>
              </w:rPr>
              <w:t xml:space="preserve">Time Table Rock Stars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A13FA69" w:rsidR="00E82D10" w:rsidRDefault="00E82D10" w:rsidP="00E82D10">
            <w:pPr>
              <w:pStyle w:val="TableRowCentered"/>
              <w:ind w:left="0" w:right="0"/>
              <w:jc w:val="left"/>
            </w:pPr>
            <w:r>
              <w:t>Maths Circle</w:t>
            </w:r>
          </w:p>
        </w:tc>
      </w:tr>
      <w:tr w:rsidR="00E82D10" w14:paraId="2A7D5552" w14:textId="77777777" w:rsidTr="00E82D10">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4A66859" w:rsidR="00E82D10" w:rsidRDefault="00E82D10" w:rsidP="00E82D10">
            <w:pPr>
              <w:pStyle w:val="TableRow"/>
              <w:ind w:left="0" w:right="0"/>
            </w:pPr>
            <w:r>
              <w:rPr>
                <w:rFonts w:eastAsia="Arial" w:cs="Arial"/>
              </w:rPr>
              <w:t xml:space="preserve">White Rose Maths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40BE9FE" w:rsidR="00E82D10" w:rsidRDefault="00E82D10" w:rsidP="00E82D10">
            <w:pPr>
              <w:pStyle w:val="TableRowCentered"/>
              <w:ind w:left="0" w:right="0"/>
              <w:jc w:val="left"/>
            </w:pPr>
            <w:r>
              <w:t>Maths Hub</w:t>
            </w:r>
          </w:p>
        </w:tc>
      </w:tr>
      <w:tr w:rsidR="00E82D10" w14:paraId="6B60CC56" w14:textId="77777777" w:rsidTr="00E82D10">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8DD7" w14:textId="0EFE04FD" w:rsidR="00E82D10" w:rsidRDefault="00E82D10" w:rsidP="00E82D10">
            <w:pPr>
              <w:pStyle w:val="TableRow"/>
              <w:ind w:left="0" w:right="0"/>
            </w:pPr>
            <w:proofErr w:type="spellStart"/>
            <w:r>
              <w:rPr>
                <w:rFonts w:eastAsia="Arial" w:cs="Arial"/>
              </w:rPr>
              <w:t>Mymaths</w:t>
            </w:r>
            <w:proofErr w:type="spellEnd"/>
            <w:r>
              <w:rPr>
                <w:rFonts w:eastAsia="Arial" w:cs="Arial"/>
              </w:rPr>
              <w:t xml:space="preserve">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76A1" w14:textId="5CC62314" w:rsidR="00E82D10" w:rsidRDefault="00E82D10" w:rsidP="00E82D10">
            <w:pPr>
              <w:pStyle w:val="TableRowCentered"/>
              <w:ind w:left="0" w:right="0"/>
              <w:jc w:val="left"/>
            </w:pPr>
            <w:r>
              <w:t>Oxford University Press</w:t>
            </w:r>
          </w:p>
        </w:tc>
      </w:tr>
      <w:tr w:rsidR="00E82D10" w14:paraId="76EF2408" w14:textId="77777777" w:rsidTr="00E82D10">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B49D" w14:textId="42120B8B" w:rsidR="00E82D10" w:rsidRDefault="00E82D10" w:rsidP="00E82D10">
            <w:pPr>
              <w:pStyle w:val="TableRow"/>
              <w:ind w:left="0" w:right="0"/>
            </w:pPr>
            <w:r>
              <w:rPr>
                <w:rFonts w:eastAsia="Arial" w:cs="Arial"/>
              </w:rPr>
              <w:t xml:space="preserve">BSquared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CFE4" w14:textId="511A9FAD" w:rsidR="00E82D10" w:rsidRDefault="0034011A" w:rsidP="00E82D10">
            <w:pPr>
              <w:pStyle w:val="TableRowCentered"/>
              <w:ind w:left="0" w:right="0"/>
              <w:jc w:val="left"/>
            </w:pPr>
            <w:r>
              <w:t>BSquared</w:t>
            </w:r>
          </w:p>
        </w:tc>
      </w:tr>
      <w:tr w:rsidR="00E82D10" w14:paraId="4E4598D3" w14:textId="77777777" w:rsidTr="00E82D10">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D4D1" w14:textId="49519EB9" w:rsidR="00E82D10" w:rsidRDefault="00E82D10" w:rsidP="00E82D10">
            <w:pPr>
              <w:pStyle w:val="TableRow"/>
              <w:ind w:left="0" w:right="0"/>
            </w:pPr>
            <w:r>
              <w:rPr>
                <w:rFonts w:eastAsia="Arial" w:cs="Arial"/>
              </w:rPr>
              <w:t xml:space="preserve">Dynamo Maths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23A1" w14:textId="0655BD10" w:rsidR="00E82D10" w:rsidRDefault="0034011A" w:rsidP="00E82D10">
            <w:pPr>
              <w:pStyle w:val="TableRowCentered"/>
              <w:ind w:left="0" w:right="0"/>
              <w:jc w:val="left"/>
            </w:pPr>
            <w:r>
              <w:t>Jelly James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6562012D" w:rsidR="00E66558" w:rsidRDefault="00E66558"/>
    <w:sectPr w:rsidR="00E66558" w:rsidSect="00BC5F0F">
      <w:headerReference w:type="default" r:id="rId24"/>
      <w:footerReference w:type="default" r:id="rId25"/>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86D0" w14:textId="77777777" w:rsidR="00C31A72" w:rsidRDefault="00C31A72">
      <w:pPr>
        <w:spacing w:after="0" w:line="240" w:lineRule="auto"/>
      </w:pPr>
      <w:r>
        <w:separator/>
      </w:r>
    </w:p>
  </w:endnote>
  <w:endnote w:type="continuationSeparator" w:id="0">
    <w:p w14:paraId="121FF113" w14:textId="77777777" w:rsidR="00C31A72" w:rsidRDefault="00C31A72">
      <w:pPr>
        <w:spacing w:after="0" w:line="240" w:lineRule="auto"/>
      </w:pPr>
      <w:r>
        <w:continuationSeparator/>
      </w:r>
    </w:p>
  </w:endnote>
  <w:endnote w:type="continuationNotice" w:id="1">
    <w:p w14:paraId="5CC6F8B4" w14:textId="77777777" w:rsidR="00C31A72" w:rsidRDefault="00C31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F412" w14:textId="77777777" w:rsidR="00C31A72" w:rsidRDefault="00C31A72">
      <w:pPr>
        <w:spacing w:after="0" w:line="240" w:lineRule="auto"/>
      </w:pPr>
      <w:r>
        <w:separator/>
      </w:r>
    </w:p>
  </w:footnote>
  <w:footnote w:type="continuationSeparator" w:id="0">
    <w:p w14:paraId="3618A9B1" w14:textId="77777777" w:rsidR="00C31A72" w:rsidRDefault="00C31A72">
      <w:pPr>
        <w:spacing w:after="0" w:line="240" w:lineRule="auto"/>
      </w:pPr>
      <w:r>
        <w:continuationSeparator/>
      </w:r>
    </w:p>
  </w:footnote>
  <w:footnote w:type="continuationNotice" w:id="1">
    <w:p w14:paraId="1332653D" w14:textId="77777777" w:rsidR="00C31A72" w:rsidRDefault="00C31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45C4196"/>
    <w:multiLevelType w:val="hybridMultilevel"/>
    <w:tmpl w:val="1850F2AA"/>
    <w:lvl w:ilvl="0" w:tplc="D21AB450">
      <w:start w:val="2024"/>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7"/>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D7CDF"/>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16BC"/>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523D"/>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222B1"/>
    <w:rsid w:val="00336200"/>
    <w:rsid w:val="00337418"/>
    <w:rsid w:val="0034011A"/>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347"/>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66EB9"/>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6A95"/>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B6588"/>
    <w:rsid w:val="005C0BBD"/>
    <w:rsid w:val="005C54A0"/>
    <w:rsid w:val="005D0D15"/>
    <w:rsid w:val="005D1910"/>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24A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07697"/>
    <w:rsid w:val="007109F6"/>
    <w:rsid w:val="00711BE3"/>
    <w:rsid w:val="00721B51"/>
    <w:rsid w:val="00722CB3"/>
    <w:rsid w:val="00724594"/>
    <w:rsid w:val="00724FA7"/>
    <w:rsid w:val="0072526C"/>
    <w:rsid w:val="00725415"/>
    <w:rsid w:val="007261A4"/>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0BF9"/>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67481"/>
    <w:rsid w:val="00980862"/>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1C1C"/>
    <w:rsid w:val="00A727E5"/>
    <w:rsid w:val="00A748B5"/>
    <w:rsid w:val="00A7797A"/>
    <w:rsid w:val="00A80A32"/>
    <w:rsid w:val="00A81948"/>
    <w:rsid w:val="00A82A98"/>
    <w:rsid w:val="00A82D16"/>
    <w:rsid w:val="00A83B5A"/>
    <w:rsid w:val="00A852F2"/>
    <w:rsid w:val="00A8712A"/>
    <w:rsid w:val="00A95EF9"/>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9E"/>
    <w:rsid w:val="00B11DE8"/>
    <w:rsid w:val="00B179ED"/>
    <w:rsid w:val="00B20E18"/>
    <w:rsid w:val="00B331E1"/>
    <w:rsid w:val="00B4532A"/>
    <w:rsid w:val="00B47C66"/>
    <w:rsid w:val="00B572C4"/>
    <w:rsid w:val="00B60858"/>
    <w:rsid w:val="00B60D69"/>
    <w:rsid w:val="00B6234E"/>
    <w:rsid w:val="00B74D4E"/>
    <w:rsid w:val="00B80219"/>
    <w:rsid w:val="00B87184"/>
    <w:rsid w:val="00B877CA"/>
    <w:rsid w:val="00B91453"/>
    <w:rsid w:val="00BA0679"/>
    <w:rsid w:val="00BA19A5"/>
    <w:rsid w:val="00BB2907"/>
    <w:rsid w:val="00BB6902"/>
    <w:rsid w:val="00BC078B"/>
    <w:rsid w:val="00BC3A7D"/>
    <w:rsid w:val="00BC5F0F"/>
    <w:rsid w:val="00BC67F6"/>
    <w:rsid w:val="00BD2004"/>
    <w:rsid w:val="00BD4B12"/>
    <w:rsid w:val="00BD700D"/>
    <w:rsid w:val="00BE29BC"/>
    <w:rsid w:val="00BE2F92"/>
    <w:rsid w:val="00BE44AC"/>
    <w:rsid w:val="00BF0D5F"/>
    <w:rsid w:val="00BF30FC"/>
    <w:rsid w:val="00BF59B3"/>
    <w:rsid w:val="00BF6F95"/>
    <w:rsid w:val="00C03D13"/>
    <w:rsid w:val="00C10BCF"/>
    <w:rsid w:val="00C11EB4"/>
    <w:rsid w:val="00C12746"/>
    <w:rsid w:val="00C23C11"/>
    <w:rsid w:val="00C2441E"/>
    <w:rsid w:val="00C25827"/>
    <w:rsid w:val="00C310A9"/>
    <w:rsid w:val="00C31636"/>
    <w:rsid w:val="00C31A72"/>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61E3"/>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22ED"/>
    <w:rsid w:val="00D43A15"/>
    <w:rsid w:val="00D4463C"/>
    <w:rsid w:val="00D46182"/>
    <w:rsid w:val="00D46C7D"/>
    <w:rsid w:val="00D501EE"/>
    <w:rsid w:val="00D517DC"/>
    <w:rsid w:val="00D5360D"/>
    <w:rsid w:val="00D5590D"/>
    <w:rsid w:val="00D618E4"/>
    <w:rsid w:val="00D61DA5"/>
    <w:rsid w:val="00D63AAB"/>
    <w:rsid w:val="00D642A3"/>
    <w:rsid w:val="00D71B8A"/>
    <w:rsid w:val="00D72C08"/>
    <w:rsid w:val="00D75247"/>
    <w:rsid w:val="00D81325"/>
    <w:rsid w:val="00D875ED"/>
    <w:rsid w:val="00D877D0"/>
    <w:rsid w:val="00D90013"/>
    <w:rsid w:val="00D90510"/>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6A"/>
    <w:rsid w:val="00E10E81"/>
    <w:rsid w:val="00E13E51"/>
    <w:rsid w:val="00E21F56"/>
    <w:rsid w:val="00E3014F"/>
    <w:rsid w:val="00E4286E"/>
    <w:rsid w:val="00E43EAD"/>
    <w:rsid w:val="00E51CEF"/>
    <w:rsid w:val="00E62DCB"/>
    <w:rsid w:val="00E651DD"/>
    <w:rsid w:val="00E66558"/>
    <w:rsid w:val="00E70D81"/>
    <w:rsid w:val="00E726A6"/>
    <w:rsid w:val="00E73418"/>
    <w:rsid w:val="00E8109E"/>
    <w:rsid w:val="00E82D10"/>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970F3"/>
    <w:rsid w:val="00FA6DD0"/>
    <w:rsid w:val="00FC28DF"/>
    <w:rsid w:val="00FD1780"/>
    <w:rsid w:val="00FD2297"/>
    <w:rsid w:val="00FD406D"/>
    <w:rsid w:val="00FD6AC6"/>
    <w:rsid w:val="00FE3136"/>
    <w:rsid w:val="00FE50A3"/>
    <w:rsid w:val="00FE5204"/>
    <w:rsid w:val="00FE604C"/>
    <w:rsid w:val="00FF177A"/>
    <w:rsid w:val="00FF2000"/>
    <w:rsid w:val="00FF369D"/>
    <w:rsid w:val="00FF6CA3"/>
    <w:rsid w:val="00FF6FB0"/>
    <w:rsid w:val="00FF79A8"/>
    <w:rsid w:val="05B6D577"/>
    <w:rsid w:val="069AA0E3"/>
    <w:rsid w:val="07FFD3D3"/>
    <w:rsid w:val="0B240EAF"/>
    <w:rsid w:val="13173609"/>
    <w:rsid w:val="131C4472"/>
    <w:rsid w:val="15511BA4"/>
    <w:rsid w:val="1991FEC9"/>
    <w:rsid w:val="1A172959"/>
    <w:rsid w:val="1CBF4D92"/>
    <w:rsid w:val="1DE4A1A6"/>
    <w:rsid w:val="235BE8F4"/>
    <w:rsid w:val="2497129E"/>
    <w:rsid w:val="2857E33A"/>
    <w:rsid w:val="2860AB8E"/>
    <w:rsid w:val="2FFB967E"/>
    <w:rsid w:val="31CC4DD9"/>
    <w:rsid w:val="365B2CDC"/>
    <w:rsid w:val="380BAE89"/>
    <w:rsid w:val="3A3F1ACF"/>
    <w:rsid w:val="3A86DE73"/>
    <w:rsid w:val="3BE13FA2"/>
    <w:rsid w:val="3BF34C58"/>
    <w:rsid w:val="3C5A6419"/>
    <w:rsid w:val="3D4DCBE4"/>
    <w:rsid w:val="3EA4202B"/>
    <w:rsid w:val="407F390E"/>
    <w:rsid w:val="418407A1"/>
    <w:rsid w:val="43890E48"/>
    <w:rsid w:val="4636215F"/>
    <w:rsid w:val="491E3A64"/>
    <w:rsid w:val="4BF69EA0"/>
    <w:rsid w:val="51D6D7EA"/>
    <w:rsid w:val="53B77C97"/>
    <w:rsid w:val="56464297"/>
    <w:rsid w:val="5726C435"/>
    <w:rsid w:val="5C40C457"/>
    <w:rsid w:val="5F3A7B6B"/>
    <w:rsid w:val="617B4808"/>
    <w:rsid w:val="625D1A15"/>
    <w:rsid w:val="63258243"/>
    <w:rsid w:val="65E1DA8E"/>
    <w:rsid w:val="6948C1C2"/>
    <w:rsid w:val="6A093CA4"/>
    <w:rsid w:val="6D28B1AF"/>
    <w:rsid w:val="6D616F43"/>
    <w:rsid w:val="6DF3C01C"/>
    <w:rsid w:val="6EB73EE5"/>
    <w:rsid w:val="70143975"/>
    <w:rsid w:val="709C33EC"/>
    <w:rsid w:val="7235C2A4"/>
    <w:rsid w:val="7804BC84"/>
    <w:rsid w:val="7B5E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6624AB"/>
    <w:pPr>
      <w:suppressAutoHyphens w:val="0"/>
      <w:autoSpaceDN/>
      <w:spacing w:before="100" w:beforeAutospacing="1" w:after="100" w:afterAutospacing="1" w:line="240" w:lineRule="auto"/>
    </w:pPr>
    <w:rPr>
      <w:rFonts w:ascii="Times New Roman" w:hAnsi="Times New Roman"/>
      <w:color w:val="auto"/>
    </w:rPr>
  </w:style>
  <w:style w:type="table" w:customStyle="1" w:styleId="TableGrid0">
    <w:name w:val="TableGrid"/>
    <w:rsid w:val="00BC5F0F"/>
    <w:pPr>
      <w:autoSpaceDN/>
    </w:pPr>
    <w:rPr>
      <w:rFonts w:ascii="Calibri" w:hAnsi="Calibri"/>
      <w:sz w:val="22"/>
      <w:szCs w:val="22"/>
    </w:rPr>
    <w:tblPr>
      <w:tblCellMar>
        <w:top w:w="0" w:type="dxa"/>
        <w:left w:w="0" w:type="dxa"/>
        <w:bottom w:w="0" w:type="dxa"/>
        <w:right w:w="0" w:type="dxa"/>
      </w:tblCellMar>
    </w:tblPr>
  </w:style>
  <w:style w:type="table" w:customStyle="1" w:styleId="TableGrid1">
    <w:name w:val="TableGrid1"/>
    <w:rsid w:val="0027523D"/>
    <w:pPr>
      <w:autoSpaceDN/>
    </w:pPr>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58298134">
      <w:bodyDiv w:val="1"/>
      <w:marLeft w:val="0"/>
      <w:marRight w:val="0"/>
      <w:marTop w:val="0"/>
      <w:marBottom w:val="0"/>
      <w:divBdr>
        <w:top w:val="none" w:sz="0" w:space="0" w:color="auto"/>
        <w:left w:val="none" w:sz="0" w:space="0" w:color="auto"/>
        <w:bottom w:val="none" w:sz="0" w:space="0" w:color="auto"/>
        <w:right w:val="none" w:sz="0" w:space="0" w:color="auto"/>
      </w:divBdr>
    </w:div>
    <w:div w:id="370496426">
      <w:bodyDiv w:val="1"/>
      <w:marLeft w:val="0"/>
      <w:marRight w:val="0"/>
      <w:marTop w:val="0"/>
      <w:marBottom w:val="0"/>
      <w:divBdr>
        <w:top w:val="none" w:sz="0" w:space="0" w:color="auto"/>
        <w:left w:val="none" w:sz="0" w:space="0" w:color="auto"/>
        <w:bottom w:val="none" w:sz="0" w:space="0" w:color="auto"/>
        <w:right w:val="none" w:sz="0" w:space="0" w:color="auto"/>
      </w:divBdr>
    </w:div>
    <w:div w:id="165001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etm.org.uk/teaching-for-mastery/mastery-explained/" TargetMode="External"/><Relationship Id="rId13" Type="http://schemas.openxmlformats.org/officeDocument/2006/relationships/hyperlink" Target="https://ican.org.uk/media/2003/early-talk-boost"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hyperlink" Target="https://educationendowmentfoundation.org.uk/education-evidence/teaching-learning-toolkit/mastery-learning" TargetMode="Externa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guidance-reports/supporting-parents" TargetMode="External"/><Relationship Id="rId20"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rojects-and-evaluation/projects/magic-breakfas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2tic4wvo1iusb.cloudfront.net/production/eef-guidance-reports/primary-sel/EEF_Social_and_Emotional_Learning.pdf?v=1731076872" TargetMode="External"/><Relationship Id="rId23" Type="http://schemas.openxmlformats.org/officeDocument/2006/relationships/image" Target="media/image6.png"/><Relationship Id="rId10" Type="http://schemas.openxmlformats.org/officeDocument/2006/relationships/hyperlink" Target="https://www.gov.uk/government/publications/choosing-a-phonics-teaching-programme/list-of-phonics-teaching-programme"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hyperlink" Target="https://educationendowmentfoundation.org.uk/education-evidence/teaching-learning-toolkit/metacognition-and-self-regulation" TargetMode="External"/><Relationship Id="rId22" Type="http://schemas.openxmlformats.org/officeDocument/2006/relationships/image" Target="media/image5.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3472</Words>
  <Characters>19796</Characters>
  <Application>Microsoft Office Word</Application>
  <DocSecurity>0</DocSecurity>
  <Lines>164</Lines>
  <Paragraphs>46</Paragraphs>
  <ScaleCrop>false</ScaleCrop>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Shelagh Bagnall</cp:lastModifiedBy>
  <cp:revision>2</cp:revision>
  <cp:lastPrinted>2014-09-18T05:26:00Z</cp:lastPrinted>
  <dcterms:created xsi:type="dcterms:W3CDTF">2026-01-02T08:38:00Z</dcterms:created>
  <dcterms:modified xsi:type="dcterms:W3CDTF">2026-01-02T08:38:00Z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